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450FC" w14:textId="0BED15E2" w:rsidR="00F7183A" w:rsidRPr="00967CFB" w:rsidRDefault="00F7183A" w:rsidP="00F7183A">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A4012">
        <w:rPr>
          <w:rFonts w:ascii="Arial" w:hAnsi="Arial" w:cs="Arial"/>
          <w:b/>
          <w:bCs/>
          <w:sz w:val="28"/>
        </w:rPr>
        <w:t>R1-230</w:t>
      </w:r>
      <w:r w:rsidR="00BA4012" w:rsidRPr="00BA4012">
        <w:rPr>
          <w:rFonts w:ascii="Arial" w:hAnsi="Arial" w:cs="Arial"/>
          <w:b/>
          <w:bCs/>
          <w:sz w:val="28"/>
        </w:rPr>
        <w:t>7942</w:t>
      </w:r>
    </w:p>
    <w:p w14:paraId="01F39676" w14:textId="77777777" w:rsidR="00F7183A" w:rsidRPr="009513AC" w:rsidRDefault="00F7183A" w:rsidP="00F7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49DA4E8" w14:textId="77777777" w:rsidR="00CF6DA2" w:rsidRPr="0052548E" w:rsidRDefault="00CF6DA2" w:rsidP="00CF6DA2"/>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42C3DAAF"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53638">
        <w:rPr>
          <w:rFonts w:ascii="Arial" w:hAnsi="Arial"/>
          <w:sz w:val="24"/>
        </w:rPr>
        <w:t>9.</w:t>
      </w:r>
      <w:r w:rsidR="00330881">
        <w:rPr>
          <w:rFonts w:ascii="Arial" w:hAnsi="Arial"/>
          <w:sz w:val="24"/>
        </w:rPr>
        <w:t>9</w:t>
      </w:r>
      <w:r w:rsidR="00053638">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ADF8D8F"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3638" w:rsidRPr="00053638">
        <w:rPr>
          <w:rFonts w:ascii="Arial" w:hAnsi="Arial"/>
          <w:sz w:val="24"/>
          <w:szCs w:val="24"/>
        </w:rPr>
        <w:t>Coverage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0"/>
      <w:bookmarkEnd w:id="1"/>
    </w:p>
    <w:p w14:paraId="52196BEB" w14:textId="77777777" w:rsidR="0046728D" w:rsidRDefault="0046728D" w:rsidP="003E0457">
      <w:pPr>
        <w:widowControl w:val="0"/>
        <w:jc w:val="both"/>
      </w:pPr>
    </w:p>
    <w:p w14:paraId="1F3845CD" w14:textId="437A21DA" w:rsidR="000C3D7F" w:rsidRDefault="000C3D7F" w:rsidP="003E0457">
      <w:pPr>
        <w:widowControl w:val="0"/>
        <w:jc w:val="both"/>
      </w:pPr>
      <w:r>
        <w:t>In RAN1#11</w:t>
      </w:r>
      <w:r w:rsidR="00ED31B1">
        <w:t>3</w:t>
      </w:r>
      <w:r>
        <w:t xml:space="preserve">, the following </w:t>
      </w:r>
      <w:r w:rsidR="00A97BA9">
        <w:t>working assumption</w:t>
      </w:r>
      <w:r w:rsidR="0086635C">
        <w:t>s</w:t>
      </w:r>
      <w:r w:rsidR="00A97BA9">
        <w:t xml:space="preserve"> and </w:t>
      </w:r>
      <w:r w:rsidR="0086635C">
        <w:t>agreements</w:t>
      </w:r>
      <w:r>
        <w:t xml:space="preserve"> were made </w:t>
      </w:r>
      <w:r w:rsidR="0046728D">
        <w:t>[</w:t>
      </w:r>
      <w:r w:rsidR="006A3F0B">
        <w:t>1</w:t>
      </w:r>
      <w:r w:rsidR="0046728D">
        <w:t>]</w:t>
      </w:r>
      <w:r>
        <w:t>:</w:t>
      </w:r>
    </w:p>
    <w:p w14:paraId="5626CF0E" w14:textId="77777777" w:rsidR="00ED31B1" w:rsidRPr="00ED31B1" w:rsidRDefault="00ED31B1" w:rsidP="00ED31B1">
      <w:pPr>
        <w:snapToGrid w:val="0"/>
        <w:ind w:left="288"/>
        <w:jc w:val="both"/>
        <w:rPr>
          <w:b/>
          <w:i/>
          <w:iCs/>
        </w:rPr>
      </w:pPr>
      <w:r w:rsidRPr="00ED31B1">
        <w:rPr>
          <w:b/>
          <w:i/>
          <w:iCs/>
        </w:rPr>
        <w:t>Agreement</w:t>
      </w:r>
    </w:p>
    <w:p w14:paraId="29E2221B" w14:textId="77777777" w:rsidR="00ED31B1" w:rsidRPr="00ED31B1" w:rsidRDefault="00ED31B1" w:rsidP="00ED31B1">
      <w:pPr>
        <w:snapToGrid w:val="0"/>
        <w:ind w:left="288"/>
        <w:rPr>
          <w:rFonts w:eastAsia="Gulim"/>
          <w:i/>
          <w:iCs/>
        </w:rPr>
      </w:pPr>
      <w:r w:rsidRPr="00ED31B1">
        <w:rPr>
          <w:rFonts w:eastAsia="Gulim"/>
          <w:i/>
          <w:iCs/>
        </w:rPr>
        <w:t>If PUCCH repetition discussed in R18 NR NTN coverage enhancement is supported for PUCCH transmission when dedicated PUCCH resource configuration is not provided:</w:t>
      </w:r>
    </w:p>
    <w:p w14:paraId="63432D5D" w14:textId="77777777" w:rsidR="00ED31B1" w:rsidRPr="00ED31B1" w:rsidRDefault="00ED31B1" w:rsidP="00ED31B1">
      <w:pPr>
        <w:numPr>
          <w:ilvl w:val="0"/>
          <w:numId w:val="39"/>
        </w:numPr>
        <w:overflowPunct/>
        <w:autoSpaceDE/>
        <w:autoSpaceDN/>
        <w:adjustRightInd/>
        <w:snapToGrid w:val="0"/>
        <w:spacing w:after="0"/>
        <w:ind w:left="1008"/>
        <w:textAlignment w:val="auto"/>
        <w:rPr>
          <w:rFonts w:eastAsia="Gulim"/>
          <w:i/>
          <w:iCs/>
        </w:rPr>
      </w:pPr>
      <w:r w:rsidRPr="00ED31B1">
        <w:rPr>
          <w:rFonts w:eastAsia="Gulim"/>
          <w:i/>
          <w:iCs/>
        </w:rPr>
        <w:t xml:space="preserve">The agreements and working assumptions for PUCCH for Msg4 HARQ-ACK are applied to any PUCCH transmission by using common PUCCH </w:t>
      </w:r>
      <w:proofErr w:type="gramStart"/>
      <w:r w:rsidRPr="00ED31B1">
        <w:rPr>
          <w:rFonts w:eastAsia="Gulim"/>
          <w:i/>
          <w:iCs/>
        </w:rPr>
        <w:t>resource</w:t>
      </w:r>
      <w:proofErr w:type="gramEnd"/>
    </w:p>
    <w:p w14:paraId="23303489" w14:textId="77777777" w:rsidR="00ED31B1" w:rsidRPr="00ED31B1" w:rsidRDefault="00ED31B1" w:rsidP="00ED31B1">
      <w:pPr>
        <w:numPr>
          <w:ilvl w:val="0"/>
          <w:numId w:val="39"/>
        </w:numPr>
        <w:overflowPunct/>
        <w:autoSpaceDE/>
        <w:autoSpaceDN/>
        <w:adjustRightInd/>
        <w:snapToGrid w:val="0"/>
        <w:spacing w:after="0"/>
        <w:ind w:left="1008"/>
        <w:textAlignment w:val="auto"/>
        <w:rPr>
          <w:rFonts w:eastAsia="Gulim"/>
          <w:i/>
          <w:iCs/>
        </w:rPr>
      </w:pPr>
      <w:r w:rsidRPr="00ED31B1">
        <w:rPr>
          <w:rFonts w:eastAsia="DengXian"/>
          <w:i/>
          <w:iCs/>
        </w:rPr>
        <w:t xml:space="preserve">The same repetition factor is applied for </w:t>
      </w:r>
      <w:r w:rsidRPr="00ED31B1">
        <w:rPr>
          <w:rFonts w:eastAsia="Gulim"/>
          <w:i/>
          <w:iCs/>
        </w:rPr>
        <w:t xml:space="preserve">PUCCH for Msg4 HARQ-ACK and subsequent PUCCH transmissions by using common PUCCH </w:t>
      </w:r>
      <w:proofErr w:type="gramStart"/>
      <w:r w:rsidRPr="00ED31B1">
        <w:rPr>
          <w:rFonts w:eastAsia="Gulim"/>
          <w:i/>
          <w:iCs/>
        </w:rPr>
        <w:t>resource</w:t>
      </w:r>
      <w:proofErr w:type="gramEnd"/>
    </w:p>
    <w:p w14:paraId="0B5C26E4" w14:textId="77777777" w:rsidR="00ED31B1" w:rsidRPr="00ED31B1" w:rsidRDefault="00ED31B1" w:rsidP="00ED31B1">
      <w:pPr>
        <w:numPr>
          <w:ilvl w:val="0"/>
          <w:numId w:val="39"/>
        </w:numPr>
        <w:overflowPunct/>
        <w:autoSpaceDE/>
        <w:autoSpaceDN/>
        <w:adjustRightInd/>
        <w:snapToGrid w:val="0"/>
        <w:spacing w:after="0"/>
        <w:ind w:left="1008"/>
        <w:textAlignment w:val="auto"/>
        <w:rPr>
          <w:rFonts w:eastAsia="Gulim"/>
          <w:i/>
          <w:iCs/>
        </w:rPr>
      </w:pPr>
      <w:r w:rsidRPr="00ED31B1">
        <w:rPr>
          <w:rFonts w:eastAsia="DengXian"/>
          <w:i/>
          <w:iCs/>
        </w:rPr>
        <w:t xml:space="preserve">Note: It is not precluded for </w:t>
      </w:r>
      <w:proofErr w:type="spellStart"/>
      <w:r w:rsidRPr="00ED31B1">
        <w:rPr>
          <w:rFonts w:eastAsia="DengXian"/>
          <w:i/>
          <w:iCs/>
        </w:rPr>
        <w:t>gNB</w:t>
      </w:r>
      <w:proofErr w:type="spellEnd"/>
      <w:r w:rsidRPr="00ED31B1">
        <w:rPr>
          <w:rFonts w:eastAsia="DengXian"/>
          <w:i/>
          <w:iCs/>
        </w:rPr>
        <w:t xml:space="preserve"> to provide dedicated PUCCH config via Msg4 PDSCH.</w:t>
      </w:r>
    </w:p>
    <w:p w14:paraId="0A91F9C6" w14:textId="77777777" w:rsidR="00ED31B1" w:rsidRPr="00ED31B1" w:rsidRDefault="00ED31B1" w:rsidP="00ED31B1">
      <w:pPr>
        <w:ind w:left="288"/>
        <w:rPr>
          <w:i/>
          <w:iCs/>
          <w:lang w:eastAsia="x-none"/>
        </w:rPr>
      </w:pPr>
    </w:p>
    <w:p w14:paraId="1D27CECA" w14:textId="77777777" w:rsidR="00ED31B1" w:rsidRPr="00ED31B1" w:rsidRDefault="00ED31B1" w:rsidP="00ED31B1">
      <w:pPr>
        <w:ind w:left="288"/>
        <w:rPr>
          <w:b/>
          <w:i/>
          <w:iCs/>
          <w:lang w:eastAsia="zh-CN"/>
        </w:rPr>
      </w:pPr>
      <w:r w:rsidRPr="00ED31B1">
        <w:rPr>
          <w:b/>
          <w:i/>
          <w:iCs/>
          <w:lang w:eastAsia="zh-CN"/>
        </w:rPr>
        <w:t>Working assumption</w:t>
      </w:r>
    </w:p>
    <w:p w14:paraId="1B34D528" w14:textId="77777777" w:rsidR="00ED31B1" w:rsidRPr="00ED31B1" w:rsidRDefault="00ED31B1" w:rsidP="00ED31B1">
      <w:pPr>
        <w:snapToGrid w:val="0"/>
        <w:ind w:left="288"/>
        <w:jc w:val="both"/>
        <w:rPr>
          <w:i/>
          <w:iCs/>
        </w:rPr>
      </w:pPr>
      <w:r w:rsidRPr="00ED31B1">
        <w:rPr>
          <w:i/>
          <w:iCs/>
        </w:rPr>
        <w:t xml:space="preserve">For NTN-specific PUSCH DMRS bundling, reuse clause 6.1.7 in TS38.214 for </w:t>
      </w:r>
      <w:r w:rsidRPr="00ED31B1">
        <w:rPr>
          <w:rFonts w:eastAsia="DengXian"/>
          <w:i/>
          <w:iCs/>
        </w:rPr>
        <w:t>nominal TDW determination, except for aspects related to UE capabilities and assistance information (if needed)</w:t>
      </w:r>
      <w:r w:rsidRPr="00ED31B1">
        <w:rPr>
          <w:i/>
          <w:iCs/>
        </w:rPr>
        <w:t>.</w:t>
      </w:r>
    </w:p>
    <w:p w14:paraId="54E214BB" w14:textId="77777777" w:rsidR="00ED31B1" w:rsidRPr="00ED31B1" w:rsidRDefault="00ED31B1" w:rsidP="00ED31B1">
      <w:pPr>
        <w:numPr>
          <w:ilvl w:val="0"/>
          <w:numId w:val="39"/>
        </w:numPr>
        <w:overflowPunct/>
        <w:autoSpaceDE/>
        <w:autoSpaceDN/>
        <w:adjustRightInd/>
        <w:snapToGrid w:val="0"/>
        <w:spacing w:after="0"/>
        <w:ind w:left="1008"/>
        <w:textAlignment w:val="auto"/>
        <w:rPr>
          <w:i/>
          <w:iCs/>
        </w:rPr>
      </w:pPr>
      <w:r w:rsidRPr="00ED31B1">
        <w:rPr>
          <w:rFonts w:eastAsia="DengXian"/>
          <w:i/>
          <w:iCs/>
        </w:rPr>
        <w:t>i.e., if PUSCH-</w:t>
      </w:r>
      <w:proofErr w:type="spellStart"/>
      <w:r w:rsidRPr="00ED31B1">
        <w:rPr>
          <w:rFonts w:eastAsia="DengXian"/>
          <w:i/>
          <w:iCs/>
        </w:rPr>
        <w:t>TimeDomainWindowLength</w:t>
      </w:r>
      <w:proofErr w:type="spellEnd"/>
      <w:r w:rsidRPr="00ED31B1">
        <w:rPr>
          <w:rFonts w:eastAsia="DengXian"/>
          <w:i/>
          <w:iCs/>
        </w:rPr>
        <w:t xml:space="preserve"> is configured, nominal TDW is determined by PUSCH-</w:t>
      </w:r>
      <w:proofErr w:type="spellStart"/>
      <w:r w:rsidRPr="00ED31B1">
        <w:rPr>
          <w:rFonts w:eastAsia="DengXian"/>
          <w:i/>
          <w:iCs/>
        </w:rPr>
        <w:t>TimeDomainWindowLength</w:t>
      </w:r>
      <w:proofErr w:type="spellEnd"/>
      <w:r w:rsidRPr="00ED31B1">
        <w:rPr>
          <w:rFonts w:eastAsia="DengXian"/>
          <w:i/>
          <w:iCs/>
        </w:rPr>
        <w:t>; otherwise, nominal TDW is determined based on UE capability(</w:t>
      </w:r>
      <w:proofErr w:type="spellStart"/>
      <w:r w:rsidRPr="00ED31B1">
        <w:rPr>
          <w:rFonts w:eastAsia="DengXian"/>
          <w:i/>
          <w:iCs/>
        </w:rPr>
        <w:t>ies</w:t>
      </w:r>
      <w:proofErr w:type="spellEnd"/>
      <w:r w:rsidRPr="00ED31B1">
        <w:rPr>
          <w:rFonts w:eastAsia="DengXian"/>
          <w:i/>
          <w:iCs/>
        </w:rPr>
        <w:t>) signaling.</w:t>
      </w:r>
    </w:p>
    <w:p w14:paraId="0042226E" w14:textId="77777777" w:rsidR="00ED31B1" w:rsidRPr="00ED31B1" w:rsidRDefault="00ED31B1" w:rsidP="00ED31B1">
      <w:pPr>
        <w:numPr>
          <w:ilvl w:val="0"/>
          <w:numId w:val="39"/>
        </w:numPr>
        <w:overflowPunct/>
        <w:autoSpaceDE/>
        <w:autoSpaceDN/>
        <w:adjustRightInd/>
        <w:snapToGrid w:val="0"/>
        <w:spacing w:after="0"/>
        <w:ind w:left="1008"/>
        <w:textAlignment w:val="auto"/>
        <w:rPr>
          <w:i/>
          <w:iCs/>
        </w:rPr>
      </w:pPr>
      <w:r w:rsidRPr="00ED31B1">
        <w:rPr>
          <w:rFonts w:eastAsia="DengXian"/>
          <w:i/>
          <w:iCs/>
        </w:rPr>
        <w:t>FFS: which UE capability(</w:t>
      </w:r>
      <w:proofErr w:type="spellStart"/>
      <w:r w:rsidRPr="00ED31B1">
        <w:rPr>
          <w:rFonts w:eastAsia="DengXian"/>
          <w:i/>
          <w:iCs/>
        </w:rPr>
        <w:t>ies</w:t>
      </w:r>
      <w:proofErr w:type="spellEnd"/>
      <w:r w:rsidRPr="00ED31B1">
        <w:rPr>
          <w:rFonts w:eastAsia="DengXian"/>
          <w:i/>
          <w:iCs/>
        </w:rPr>
        <w:t>) signaling is(are) used</w:t>
      </w:r>
    </w:p>
    <w:p w14:paraId="042F76EF" w14:textId="77777777" w:rsidR="00ED31B1" w:rsidRPr="00ED31B1" w:rsidRDefault="00ED31B1" w:rsidP="00ED31B1">
      <w:pPr>
        <w:numPr>
          <w:ilvl w:val="0"/>
          <w:numId w:val="39"/>
        </w:numPr>
        <w:overflowPunct/>
        <w:autoSpaceDE/>
        <w:autoSpaceDN/>
        <w:adjustRightInd/>
        <w:snapToGrid w:val="0"/>
        <w:spacing w:after="0"/>
        <w:ind w:left="1008"/>
        <w:textAlignment w:val="auto"/>
        <w:rPr>
          <w:i/>
          <w:iCs/>
        </w:rPr>
      </w:pPr>
      <w:r w:rsidRPr="00ED31B1">
        <w:rPr>
          <w:rFonts w:eastAsia="DengXian"/>
          <w:i/>
          <w:iCs/>
        </w:rPr>
        <w:t>FFS: whether/how to use UE assistance information, if supported</w:t>
      </w:r>
    </w:p>
    <w:p w14:paraId="2BF25F4E" w14:textId="77777777" w:rsidR="00ED31B1" w:rsidRPr="00ED31B1" w:rsidRDefault="00ED31B1" w:rsidP="00ED31B1">
      <w:pPr>
        <w:ind w:left="288"/>
        <w:rPr>
          <w:i/>
          <w:iCs/>
          <w:lang w:eastAsia="x-none"/>
        </w:rPr>
      </w:pPr>
    </w:p>
    <w:p w14:paraId="0C3F0931" w14:textId="77777777" w:rsidR="00ED31B1" w:rsidRPr="00ED31B1" w:rsidRDefault="00ED31B1" w:rsidP="00ED31B1">
      <w:pPr>
        <w:ind w:left="288"/>
        <w:rPr>
          <w:i/>
          <w:iCs/>
          <w:lang w:eastAsia="x-none"/>
        </w:rPr>
      </w:pPr>
    </w:p>
    <w:p w14:paraId="695065E4" w14:textId="77777777" w:rsidR="00ED31B1" w:rsidRPr="00ED31B1" w:rsidRDefault="00ED31B1" w:rsidP="00ED31B1">
      <w:pPr>
        <w:ind w:left="288"/>
        <w:rPr>
          <w:b/>
          <w:i/>
          <w:iCs/>
          <w:lang w:eastAsia="zh-CN"/>
        </w:rPr>
      </w:pPr>
      <w:r w:rsidRPr="00ED31B1">
        <w:rPr>
          <w:b/>
          <w:i/>
          <w:iCs/>
          <w:lang w:eastAsia="zh-CN"/>
        </w:rPr>
        <w:t>Agreement</w:t>
      </w:r>
    </w:p>
    <w:p w14:paraId="4C61D027" w14:textId="77777777" w:rsidR="00ED31B1" w:rsidRPr="00ED31B1" w:rsidRDefault="00ED31B1" w:rsidP="00ED31B1">
      <w:pPr>
        <w:snapToGrid w:val="0"/>
        <w:ind w:left="288"/>
        <w:jc w:val="both"/>
        <w:rPr>
          <w:rFonts w:eastAsia="DengXian"/>
          <w:i/>
          <w:iCs/>
        </w:rPr>
      </w:pPr>
      <w:r w:rsidRPr="00ED31B1">
        <w:rPr>
          <w:i/>
          <w:iCs/>
        </w:rPr>
        <w:t>For NTN-specific PUSCH DMRS bundling, one or more of the following is down-selected for actual TDW determination.</w:t>
      </w:r>
    </w:p>
    <w:p w14:paraId="5F7B551D" w14:textId="77777777" w:rsidR="00ED31B1" w:rsidRPr="00ED31B1" w:rsidRDefault="00ED31B1" w:rsidP="00ED31B1">
      <w:pPr>
        <w:numPr>
          <w:ilvl w:val="0"/>
          <w:numId w:val="39"/>
        </w:numPr>
        <w:overflowPunct/>
        <w:autoSpaceDE/>
        <w:autoSpaceDN/>
        <w:adjustRightInd/>
        <w:snapToGrid w:val="0"/>
        <w:spacing w:after="0"/>
        <w:ind w:left="1008"/>
        <w:textAlignment w:val="auto"/>
        <w:rPr>
          <w:i/>
          <w:iCs/>
        </w:rPr>
      </w:pPr>
      <w:r w:rsidRPr="00ED31B1">
        <w:rPr>
          <w:rFonts w:eastAsia="DengXian"/>
          <w:i/>
          <w:iCs/>
        </w:rPr>
        <w:t>Actual TDW is determined by the existing events and,</w:t>
      </w:r>
    </w:p>
    <w:p w14:paraId="197D176C"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Alt A: No additional event</w:t>
      </w:r>
    </w:p>
    <w:p w14:paraId="6EF85490"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i.e., no spec impact is assumed for actual TDW determination.</w:t>
      </w:r>
    </w:p>
    <w:p w14:paraId="47D0F958"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Alt B: New event of TA pre-compensation timing dynamically indicated by </w:t>
      </w:r>
      <w:proofErr w:type="spellStart"/>
      <w:proofErr w:type="gramStart"/>
      <w:r w:rsidRPr="00ED31B1">
        <w:rPr>
          <w:rFonts w:eastAsia="DengXian"/>
          <w:i/>
          <w:iCs/>
        </w:rPr>
        <w:t>gNB</w:t>
      </w:r>
      <w:proofErr w:type="spellEnd"/>
      <w:proofErr w:type="gramEnd"/>
    </w:p>
    <w:p w14:paraId="36FA8780"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 xml:space="preserve">i.e., TA pre-compensation timing can be dynamically indicated by </w:t>
      </w:r>
      <w:proofErr w:type="spellStart"/>
      <w:proofErr w:type="gramStart"/>
      <w:r w:rsidRPr="00ED31B1">
        <w:rPr>
          <w:rFonts w:eastAsia="DengXian"/>
          <w:i/>
          <w:iCs/>
        </w:rPr>
        <w:t>gNB</w:t>
      </w:r>
      <w:proofErr w:type="spellEnd"/>
      <w:proofErr w:type="gramEnd"/>
    </w:p>
    <w:p w14:paraId="442D0DDF"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Note: UE can perform TA pre-compensation update at the indicated timing</w:t>
      </w:r>
    </w:p>
    <w:p w14:paraId="0F79EBB9"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FFS: detailed indication</w:t>
      </w:r>
    </w:p>
    <w:p w14:paraId="5354C52A"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lastRenderedPageBreak/>
        <w:t xml:space="preserve">Alt C: as dynamically indicated by </w:t>
      </w:r>
      <w:proofErr w:type="spellStart"/>
      <w:proofErr w:type="gramStart"/>
      <w:r w:rsidRPr="00ED31B1">
        <w:rPr>
          <w:rFonts w:eastAsia="DengXian"/>
          <w:i/>
          <w:iCs/>
        </w:rPr>
        <w:t>gNB</w:t>
      </w:r>
      <w:proofErr w:type="spellEnd"/>
      <w:proofErr w:type="gramEnd"/>
    </w:p>
    <w:p w14:paraId="761CB57F"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 xml:space="preserve">i.e., actual TDW can be dynamically indicated by </w:t>
      </w:r>
      <w:proofErr w:type="spellStart"/>
      <w:proofErr w:type="gramStart"/>
      <w:r w:rsidRPr="00ED31B1">
        <w:rPr>
          <w:rFonts w:eastAsia="DengXian"/>
          <w:i/>
          <w:iCs/>
        </w:rPr>
        <w:t>gNB</w:t>
      </w:r>
      <w:proofErr w:type="spellEnd"/>
      <w:proofErr w:type="gramEnd"/>
    </w:p>
    <w:p w14:paraId="466BAFCA"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FFS: detailed indication</w:t>
      </w:r>
    </w:p>
    <w:p w14:paraId="2C43AC87"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Alt D: New event based on epoch </w:t>
      </w:r>
      <w:proofErr w:type="gramStart"/>
      <w:r w:rsidRPr="00ED31B1">
        <w:rPr>
          <w:rFonts w:eastAsia="DengXian"/>
          <w:i/>
          <w:iCs/>
        </w:rPr>
        <w:t>time</w:t>
      </w:r>
      <w:proofErr w:type="gramEnd"/>
    </w:p>
    <w:p w14:paraId="3B3E9035"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 xml:space="preserve">FFS </w:t>
      </w:r>
      <w:proofErr w:type="gramStart"/>
      <w:r w:rsidRPr="00ED31B1">
        <w:rPr>
          <w:rFonts w:eastAsia="DengXian"/>
          <w:i/>
          <w:iCs/>
        </w:rPr>
        <w:t>details</w:t>
      </w:r>
      <w:proofErr w:type="gramEnd"/>
    </w:p>
    <w:p w14:paraId="6A2F20EF"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Alt E: New event based on antenna </w:t>
      </w:r>
      <w:proofErr w:type="gramStart"/>
      <w:r w:rsidRPr="00ED31B1">
        <w:rPr>
          <w:rFonts w:eastAsia="DengXian"/>
          <w:i/>
          <w:iCs/>
        </w:rPr>
        <w:t>switching</w:t>
      </w:r>
      <w:proofErr w:type="gramEnd"/>
    </w:p>
    <w:p w14:paraId="2D0F6F4E" w14:textId="77777777" w:rsidR="00ED31B1" w:rsidRPr="00ED31B1" w:rsidRDefault="00ED31B1" w:rsidP="00ED31B1">
      <w:pPr>
        <w:ind w:left="288"/>
        <w:rPr>
          <w:i/>
          <w:iCs/>
          <w:lang w:eastAsia="x-none"/>
        </w:rPr>
      </w:pPr>
    </w:p>
    <w:p w14:paraId="442DCE30" w14:textId="77777777" w:rsidR="00ED31B1" w:rsidRPr="00ED31B1" w:rsidRDefault="00ED31B1" w:rsidP="00ED31B1">
      <w:pPr>
        <w:ind w:left="288"/>
        <w:rPr>
          <w:i/>
          <w:iCs/>
          <w:lang w:eastAsia="x-none"/>
        </w:rPr>
      </w:pPr>
    </w:p>
    <w:p w14:paraId="2C4BF2E3" w14:textId="77777777" w:rsidR="00ED31B1" w:rsidRPr="00ED31B1" w:rsidRDefault="00ED31B1" w:rsidP="00ED31B1">
      <w:pPr>
        <w:ind w:left="288"/>
        <w:rPr>
          <w:b/>
          <w:i/>
          <w:iCs/>
          <w:lang w:eastAsia="zh-CN"/>
        </w:rPr>
      </w:pPr>
      <w:r w:rsidRPr="00ED31B1">
        <w:rPr>
          <w:b/>
          <w:i/>
          <w:iCs/>
          <w:lang w:eastAsia="zh-CN"/>
        </w:rPr>
        <w:t>Agreement</w:t>
      </w:r>
    </w:p>
    <w:p w14:paraId="78B1B412" w14:textId="77777777" w:rsidR="00ED31B1" w:rsidRPr="00ED31B1" w:rsidRDefault="00ED31B1" w:rsidP="00ED31B1">
      <w:pPr>
        <w:snapToGrid w:val="0"/>
        <w:ind w:left="288"/>
        <w:jc w:val="both"/>
        <w:rPr>
          <w:rFonts w:eastAsia="DengXian"/>
          <w:i/>
          <w:iCs/>
        </w:rPr>
      </w:pPr>
      <w:r w:rsidRPr="00ED31B1">
        <w:rPr>
          <w:i/>
          <w:iCs/>
        </w:rPr>
        <w:t xml:space="preserve">For NTN-specific PUSCH DMRS bundling, </w:t>
      </w:r>
    </w:p>
    <w:p w14:paraId="54560CED" w14:textId="77777777" w:rsidR="00ED31B1" w:rsidRPr="00ED31B1" w:rsidRDefault="00ED31B1" w:rsidP="00ED31B1">
      <w:pPr>
        <w:numPr>
          <w:ilvl w:val="0"/>
          <w:numId w:val="39"/>
        </w:numPr>
        <w:overflowPunct/>
        <w:autoSpaceDE/>
        <w:autoSpaceDN/>
        <w:adjustRightInd/>
        <w:snapToGrid w:val="0"/>
        <w:spacing w:after="0"/>
        <w:ind w:left="1008"/>
        <w:textAlignment w:val="auto"/>
        <w:rPr>
          <w:i/>
          <w:iCs/>
        </w:rPr>
      </w:pPr>
      <w:r w:rsidRPr="00ED31B1">
        <w:rPr>
          <w:rFonts w:eastAsia="DengXian"/>
          <w:i/>
          <w:iCs/>
        </w:rPr>
        <w:t xml:space="preserve">As UE capability report (in addition to FG 44-2), </w:t>
      </w:r>
      <w:r w:rsidRPr="00ED31B1">
        <w:rPr>
          <w:i/>
          <w:iCs/>
        </w:rPr>
        <w:t xml:space="preserve">one or more of the following is </w:t>
      </w:r>
      <w:proofErr w:type="gramStart"/>
      <w:r w:rsidRPr="00ED31B1">
        <w:rPr>
          <w:i/>
          <w:iCs/>
        </w:rPr>
        <w:t>down-selected</w:t>
      </w:r>
      <w:proofErr w:type="gramEnd"/>
      <w:r w:rsidRPr="00ED31B1">
        <w:rPr>
          <w:i/>
          <w:iCs/>
        </w:rPr>
        <w:t>.</w:t>
      </w:r>
    </w:p>
    <w:p w14:paraId="043AB9A4"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Option 1a: No new capability except for FG44-2</w:t>
      </w:r>
    </w:p>
    <w:p w14:paraId="5BF07E60"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Note: FG 30-4 is reported [in consideration of pre-compensation to keep phase rotation due to timing drift within the phase difference limit and without taking TA pre-compensation update into account]</w:t>
      </w:r>
    </w:p>
    <w:p w14:paraId="342D12C0"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Option 1b: Max TDW size when pre-compensation to keep phase rotation due to timing drift within the phase difference limit is performed and without taking TA pre-compensation update into </w:t>
      </w:r>
      <w:proofErr w:type="gramStart"/>
      <w:r w:rsidRPr="00ED31B1">
        <w:rPr>
          <w:rFonts w:eastAsia="DengXian"/>
          <w:i/>
          <w:iCs/>
        </w:rPr>
        <w:t>account</w:t>
      </w:r>
      <w:proofErr w:type="gramEnd"/>
    </w:p>
    <w:p w14:paraId="40351C7A"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Note: FG 30-4 is not reported for NTN band</w:t>
      </w:r>
    </w:p>
    <w:p w14:paraId="50924E29"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Option 1c: Support of antenna switching with DMRS bundling in </w:t>
      </w:r>
      <w:proofErr w:type="gramStart"/>
      <w:r w:rsidRPr="00ED31B1">
        <w:rPr>
          <w:rFonts w:eastAsia="DengXian"/>
          <w:i/>
          <w:iCs/>
        </w:rPr>
        <w:t>NTN</w:t>
      </w:r>
      <w:proofErr w:type="gramEnd"/>
    </w:p>
    <w:p w14:paraId="17CD4C92"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Option 1d: Max TDW size per NTN platform (e.g., LEO, MEO, GEO) with taking TA pre-compensation update into </w:t>
      </w:r>
      <w:proofErr w:type="gramStart"/>
      <w:r w:rsidRPr="00ED31B1">
        <w:rPr>
          <w:rFonts w:eastAsia="DengXian"/>
          <w:i/>
          <w:iCs/>
        </w:rPr>
        <w:t>account</w:t>
      </w:r>
      <w:proofErr w:type="gramEnd"/>
    </w:p>
    <w:p w14:paraId="39FF3011"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 xml:space="preserve">FFS </w:t>
      </w:r>
      <w:proofErr w:type="gramStart"/>
      <w:r w:rsidRPr="00ED31B1">
        <w:rPr>
          <w:rFonts w:eastAsia="DengXian"/>
          <w:i/>
          <w:iCs/>
        </w:rPr>
        <w:t>details</w:t>
      </w:r>
      <w:proofErr w:type="gramEnd"/>
    </w:p>
    <w:p w14:paraId="0DE3CA68"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Option 1e: Max TDW size per elevation angle with taking TA pre-compensation update into </w:t>
      </w:r>
      <w:proofErr w:type="gramStart"/>
      <w:r w:rsidRPr="00ED31B1">
        <w:rPr>
          <w:rFonts w:eastAsia="DengXian"/>
          <w:i/>
          <w:iCs/>
        </w:rPr>
        <w:t>account</w:t>
      </w:r>
      <w:proofErr w:type="gramEnd"/>
    </w:p>
    <w:p w14:paraId="76D89D2B"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Option 1f: Whether to support actual TDW across pre-compensation </w:t>
      </w:r>
      <w:proofErr w:type="gramStart"/>
      <w:r w:rsidRPr="00ED31B1">
        <w:rPr>
          <w:rFonts w:eastAsia="DengXian"/>
          <w:i/>
          <w:iCs/>
        </w:rPr>
        <w:t>segments</w:t>
      </w:r>
      <w:proofErr w:type="gramEnd"/>
    </w:p>
    <w:p w14:paraId="6F126CF6"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 xml:space="preserve">Segments defined in R17 IoT-NTN is baseline, FFS </w:t>
      </w:r>
      <w:proofErr w:type="gramStart"/>
      <w:r w:rsidRPr="00ED31B1">
        <w:rPr>
          <w:rFonts w:eastAsia="DengXian"/>
          <w:i/>
          <w:iCs/>
        </w:rPr>
        <w:t>details</w:t>
      </w:r>
      <w:proofErr w:type="gramEnd"/>
    </w:p>
    <w:p w14:paraId="30EAFA67"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Option 1g: Whether to support TA pre-compensation update within an actual TDW that does not violate the phase difference </w:t>
      </w:r>
      <w:proofErr w:type="gramStart"/>
      <w:r w:rsidRPr="00ED31B1">
        <w:rPr>
          <w:rFonts w:eastAsia="DengXian"/>
          <w:i/>
          <w:iCs/>
        </w:rPr>
        <w:t>limit</w:t>
      </w:r>
      <w:proofErr w:type="gramEnd"/>
    </w:p>
    <w:p w14:paraId="4194FD96" w14:textId="77777777" w:rsidR="00ED31B1" w:rsidRPr="00ED31B1" w:rsidRDefault="00ED31B1" w:rsidP="00ED31B1">
      <w:pPr>
        <w:numPr>
          <w:ilvl w:val="0"/>
          <w:numId w:val="39"/>
        </w:numPr>
        <w:overflowPunct/>
        <w:autoSpaceDE/>
        <w:autoSpaceDN/>
        <w:adjustRightInd/>
        <w:snapToGrid w:val="0"/>
        <w:spacing w:after="0"/>
        <w:ind w:left="1008"/>
        <w:textAlignment w:val="auto"/>
        <w:rPr>
          <w:i/>
          <w:iCs/>
        </w:rPr>
      </w:pPr>
      <w:r w:rsidRPr="00ED31B1">
        <w:rPr>
          <w:rFonts w:eastAsia="DengXian"/>
          <w:i/>
          <w:iCs/>
        </w:rPr>
        <w:t xml:space="preserve">As UE assistance information (i.e., report by signaling other than UE capability report (FFS details)), </w:t>
      </w:r>
      <w:r w:rsidRPr="00ED31B1">
        <w:rPr>
          <w:i/>
          <w:iCs/>
        </w:rPr>
        <w:t xml:space="preserve">one or more of the following is </w:t>
      </w:r>
      <w:proofErr w:type="gramStart"/>
      <w:r w:rsidRPr="00ED31B1">
        <w:rPr>
          <w:i/>
          <w:iCs/>
        </w:rPr>
        <w:t>down-selected</w:t>
      </w:r>
      <w:proofErr w:type="gramEnd"/>
      <w:r w:rsidRPr="00ED31B1">
        <w:rPr>
          <w:i/>
          <w:iCs/>
        </w:rPr>
        <w:t>.</w:t>
      </w:r>
    </w:p>
    <w:p w14:paraId="0BD137DD"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Option 2a: No assistance information</w:t>
      </w:r>
    </w:p>
    <w:p w14:paraId="7458E0FD"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Option 2b: Max TDW size based on reporting </w:t>
      </w:r>
      <w:proofErr w:type="gramStart"/>
      <w:r w:rsidRPr="00ED31B1">
        <w:rPr>
          <w:rFonts w:eastAsia="DengXian"/>
          <w:i/>
          <w:iCs/>
        </w:rPr>
        <w:t>timing</w:t>
      </w:r>
      <w:proofErr w:type="gramEnd"/>
    </w:p>
    <w:p w14:paraId="10BC4399"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 xml:space="preserve">FFS which timing is </w:t>
      </w:r>
      <w:proofErr w:type="gramStart"/>
      <w:r w:rsidRPr="00ED31B1">
        <w:rPr>
          <w:rFonts w:eastAsia="DengXian"/>
          <w:i/>
          <w:iCs/>
        </w:rPr>
        <w:t>referred</w:t>
      </w:r>
      <w:proofErr w:type="gramEnd"/>
    </w:p>
    <w:p w14:paraId="2179F776"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Option 2c: TA adjustment timing</w:t>
      </w:r>
    </w:p>
    <w:p w14:paraId="5F172A27"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rFonts w:eastAsia="DengXian"/>
          <w:i/>
          <w:iCs/>
        </w:rPr>
        <w:t xml:space="preserve">Option 2d: Antenna switching </w:t>
      </w:r>
      <w:proofErr w:type="gramStart"/>
      <w:r w:rsidRPr="00ED31B1">
        <w:rPr>
          <w:rFonts w:eastAsia="DengXian"/>
          <w:i/>
          <w:iCs/>
        </w:rPr>
        <w:t>interval</w:t>
      </w:r>
      <w:proofErr w:type="gramEnd"/>
    </w:p>
    <w:p w14:paraId="16B91487" w14:textId="77777777" w:rsidR="00ED31B1" w:rsidRPr="00ED31B1" w:rsidRDefault="00ED31B1" w:rsidP="00ED31B1">
      <w:pPr>
        <w:snapToGrid w:val="0"/>
        <w:spacing w:before="60" w:after="60"/>
        <w:ind w:left="288"/>
        <w:jc w:val="both"/>
        <w:rPr>
          <w:rFonts w:eastAsia="DengXian"/>
          <w:i/>
          <w:iCs/>
        </w:rPr>
      </w:pPr>
    </w:p>
    <w:p w14:paraId="55554A45" w14:textId="77777777" w:rsidR="00ED31B1" w:rsidRPr="00ED31B1" w:rsidRDefault="00ED31B1" w:rsidP="00ED31B1">
      <w:pPr>
        <w:ind w:left="288"/>
        <w:rPr>
          <w:b/>
          <w:i/>
          <w:iCs/>
          <w:lang w:eastAsia="zh-CN"/>
        </w:rPr>
      </w:pPr>
      <w:r w:rsidRPr="00ED31B1">
        <w:rPr>
          <w:b/>
          <w:i/>
          <w:iCs/>
          <w:lang w:eastAsia="zh-CN"/>
        </w:rPr>
        <w:t>Agreement</w:t>
      </w:r>
    </w:p>
    <w:p w14:paraId="440F20FE" w14:textId="77777777" w:rsidR="00ED31B1" w:rsidRPr="00ED31B1" w:rsidRDefault="00ED31B1" w:rsidP="00ED31B1">
      <w:pPr>
        <w:snapToGrid w:val="0"/>
        <w:ind w:left="288"/>
        <w:jc w:val="both"/>
        <w:rPr>
          <w:i/>
          <w:iCs/>
        </w:rPr>
      </w:pPr>
      <w:r w:rsidRPr="00ED31B1">
        <w:rPr>
          <w:i/>
          <w:iCs/>
        </w:rPr>
        <w:t xml:space="preserve">For PUCCH repetition for Msg4 HARQ-ACK, </w:t>
      </w:r>
    </w:p>
    <w:p w14:paraId="137187A5" w14:textId="77777777" w:rsidR="00ED31B1" w:rsidRPr="00ED31B1" w:rsidRDefault="00ED31B1" w:rsidP="00ED31B1">
      <w:pPr>
        <w:numPr>
          <w:ilvl w:val="0"/>
          <w:numId w:val="39"/>
        </w:numPr>
        <w:overflowPunct/>
        <w:autoSpaceDE/>
        <w:autoSpaceDN/>
        <w:adjustRightInd/>
        <w:snapToGrid w:val="0"/>
        <w:spacing w:after="0"/>
        <w:ind w:left="1008"/>
        <w:textAlignment w:val="auto"/>
        <w:rPr>
          <w:i/>
          <w:iCs/>
        </w:rPr>
      </w:pPr>
      <w:r w:rsidRPr="00ED31B1">
        <w:rPr>
          <w:i/>
          <w:iCs/>
        </w:rPr>
        <w:t>Support Alt 1-1d for dynamic indication of repetition factor:</w:t>
      </w:r>
    </w:p>
    <w:p w14:paraId="056D707B" w14:textId="77777777" w:rsidR="00ED31B1" w:rsidRPr="00ED31B1" w:rsidRDefault="00ED31B1" w:rsidP="00ED31B1">
      <w:pPr>
        <w:numPr>
          <w:ilvl w:val="1"/>
          <w:numId w:val="39"/>
        </w:numPr>
        <w:overflowPunct/>
        <w:autoSpaceDE/>
        <w:autoSpaceDN/>
        <w:adjustRightInd/>
        <w:snapToGrid w:val="0"/>
        <w:spacing w:after="0"/>
        <w:ind w:left="1927"/>
        <w:textAlignment w:val="auto"/>
        <w:rPr>
          <w:i/>
          <w:iCs/>
        </w:rPr>
      </w:pPr>
      <w:r w:rsidRPr="00ED31B1">
        <w:rPr>
          <w:i/>
          <w:iCs/>
        </w:rPr>
        <w:t>Alt 1-1d: DAI field</w:t>
      </w:r>
    </w:p>
    <w:p w14:paraId="5280C040" w14:textId="77777777" w:rsidR="00ED31B1" w:rsidRPr="00ED31B1" w:rsidRDefault="00ED31B1" w:rsidP="00ED31B1">
      <w:pPr>
        <w:numPr>
          <w:ilvl w:val="2"/>
          <w:numId w:val="39"/>
        </w:numPr>
        <w:overflowPunct/>
        <w:autoSpaceDE/>
        <w:autoSpaceDN/>
        <w:adjustRightInd/>
        <w:snapToGrid w:val="0"/>
        <w:spacing w:after="0"/>
        <w:ind w:left="2347"/>
        <w:textAlignment w:val="auto"/>
        <w:rPr>
          <w:i/>
          <w:iCs/>
        </w:rPr>
      </w:pPr>
      <w:r w:rsidRPr="00ED31B1">
        <w:rPr>
          <w:rFonts w:eastAsia="DengXian"/>
          <w:i/>
          <w:iCs/>
        </w:rPr>
        <w:t>DAI field in DCI format 1_0 with CRC scrambled by TC-RNTI is used for indication.</w:t>
      </w:r>
    </w:p>
    <w:p w14:paraId="305C3F7A" w14:textId="77777777" w:rsidR="00ED31B1" w:rsidRPr="008E557C" w:rsidRDefault="00ED31B1" w:rsidP="00ED31B1">
      <w:pPr>
        <w:rPr>
          <w:lang w:eastAsia="x-none"/>
        </w:rPr>
      </w:pPr>
    </w:p>
    <w:p w14:paraId="5DFBF832" w14:textId="77777777" w:rsidR="00ED31B1" w:rsidRPr="0092198D" w:rsidRDefault="00ED31B1" w:rsidP="00ED31B1">
      <w:pPr>
        <w:rPr>
          <w:lang w:eastAsia="x-none"/>
        </w:rPr>
      </w:pPr>
    </w:p>
    <w:p w14:paraId="55979341" w14:textId="77777777" w:rsidR="00051ADE" w:rsidRDefault="00051ADE" w:rsidP="003E0457">
      <w:pPr>
        <w:widowControl w:val="0"/>
        <w:jc w:val="both"/>
      </w:pPr>
    </w:p>
    <w:p w14:paraId="2300A905" w14:textId="60D2E1A5" w:rsidR="00146A8A" w:rsidRPr="005E0B96" w:rsidRDefault="00B24A3E" w:rsidP="005E0B96">
      <w:bookmarkStart w:id="2" w:name="_Ref473802466"/>
      <w:bookmarkStart w:id="3" w:name="_Ref462669569"/>
      <w:r>
        <w:t xml:space="preserve">In this contribution, </w:t>
      </w:r>
      <w:r w:rsidR="004B6586">
        <w:t xml:space="preserve">we </w:t>
      </w:r>
      <w:r w:rsidR="00EC403A">
        <w:t xml:space="preserve">discuss </w:t>
      </w:r>
      <w:r w:rsidR="007E5014">
        <w:t xml:space="preserve">remaining </w:t>
      </w:r>
      <w:r w:rsidR="00FE3B39">
        <w:t xml:space="preserve">issues </w:t>
      </w:r>
      <w:r w:rsidR="003364C9">
        <w:t xml:space="preserve">for </w:t>
      </w:r>
      <w:r w:rsidR="00C803B2">
        <w:t>PUCCH for Msg 4 HARK-ACK</w:t>
      </w:r>
      <w:r w:rsidR="00B46EAD">
        <w:t xml:space="preserve"> repetitions</w:t>
      </w:r>
      <w:r w:rsidR="00C803B2">
        <w:t xml:space="preserve"> </w:t>
      </w:r>
      <w:proofErr w:type="gramStart"/>
      <w:r w:rsidR="00C803B2">
        <w:t>and</w:t>
      </w:r>
      <w:r w:rsidR="00B46EAD">
        <w:t xml:space="preserve"> </w:t>
      </w:r>
      <w:r w:rsidR="00C803B2">
        <w:t xml:space="preserve"> DMRS</w:t>
      </w:r>
      <w:proofErr w:type="gramEnd"/>
      <w:r w:rsidR="00C803B2">
        <w:t xml:space="preserve"> bundling</w:t>
      </w:r>
      <w:r w:rsidR="00FC3DBE">
        <w:t xml:space="preserve"> for PUSCH</w:t>
      </w:r>
      <w:r w:rsidR="00F06F88">
        <w:t xml:space="preserve">. </w:t>
      </w:r>
    </w:p>
    <w:p w14:paraId="64F20B43" w14:textId="77777777" w:rsidR="00084E5F" w:rsidRPr="00875CD2" w:rsidRDefault="00084E5F" w:rsidP="00875CD2">
      <w:pPr>
        <w:rPr>
          <w:lang w:val="en-GB"/>
        </w:rPr>
      </w:pPr>
    </w:p>
    <w:p w14:paraId="3496476C" w14:textId="3E837AB4" w:rsidR="001E2704" w:rsidRDefault="008550D2" w:rsidP="00B41A1E">
      <w:pPr>
        <w:pStyle w:val="Heading1"/>
      </w:pPr>
      <w:r>
        <w:rPr>
          <w:lang w:val="en-US"/>
        </w:rPr>
        <w:t xml:space="preserve">Msg4 </w:t>
      </w:r>
      <w:r w:rsidR="003F39D5">
        <w:rPr>
          <w:lang w:val="en-US"/>
        </w:rPr>
        <w:t xml:space="preserve">HARQ-ACK </w:t>
      </w:r>
    </w:p>
    <w:p w14:paraId="4534600B" w14:textId="2A4390D0" w:rsidR="00A67F6B" w:rsidRDefault="00E851FB" w:rsidP="00176394">
      <w:r>
        <w:t xml:space="preserve">It is a working assumption that network can configure a </w:t>
      </w:r>
      <w:r w:rsidR="00DB16B1">
        <w:t xml:space="preserve">RSRP </w:t>
      </w:r>
      <w:proofErr w:type="spellStart"/>
      <w:r>
        <w:t>therhold</w:t>
      </w:r>
      <w:proofErr w:type="spellEnd"/>
      <w:r w:rsidR="002F37E7">
        <w:t xml:space="preserve"> </w:t>
      </w:r>
      <w:r w:rsidR="00AC1701">
        <w:t>for</w:t>
      </w:r>
      <w:r w:rsidR="00AE72FB">
        <w:t xml:space="preserve"> </w:t>
      </w:r>
      <w:r w:rsidR="0046728D">
        <w:t xml:space="preserve">PUCCH repetitions for </w:t>
      </w:r>
      <w:r w:rsidR="00F21D7E">
        <w:t>Msg4 HARQ-ACK</w:t>
      </w:r>
      <w:r w:rsidR="002F37E7">
        <w:t>.</w:t>
      </w:r>
      <w:r w:rsidR="00240ED9">
        <w:t xml:space="preserve"> Whether the RSRP threshold </w:t>
      </w:r>
      <w:r w:rsidR="003E2E3C">
        <w:t xml:space="preserve">can be the same as R17 Msg3 repetition or not is still FFS. </w:t>
      </w:r>
      <w:r w:rsidR="00077232">
        <w:t xml:space="preserve">Since the </w:t>
      </w:r>
      <w:r w:rsidR="00C73730">
        <w:t xml:space="preserve">exact SNR level below </w:t>
      </w:r>
      <w:proofErr w:type="gramStart"/>
      <w:r w:rsidR="00C73730">
        <w:t xml:space="preserve">which </w:t>
      </w:r>
      <w:r w:rsidR="00C44F02">
        <w:t xml:space="preserve"> Msg</w:t>
      </w:r>
      <w:proofErr w:type="gramEnd"/>
      <w:r w:rsidR="00C44F02">
        <w:t xml:space="preserve">4 HARQ-ACK </w:t>
      </w:r>
      <w:r w:rsidR="000D5F58">
        <w:t>repetition</w:t>
      </w:r>
      <w:r w:rsidR="00E90A99">
        <w:t xml:space="preserve"> is required differs from that for</w:t>
      </w:r>
      <w:r w:rsidR="00C44F02">
        <w:t xml:space="preserve"> </w:t>
      </w:r>
      <w:r w:rsidR="0046728D">
        <w:t xml:space="preserve"> </w:t>
      </w:r>
      <w:r w:rsidR="000D5F58">
        <w:t>Msg3 repetition</w:t>
      </w:r>
      <w:r w:rsidR="00C73730">
        <w:t xml:space="preserve">, </w:t>
      </w:r>
      <w:r w:rsidR="00C56B5E">
        <w:t>network should be allow</w:t>
      </w:r>
      <w:r w:rsidR="00E90A99">
        <w:t>ed</w:t>
      </w:r>
      <w:r w:rsidR="00C56B5E">
        <w:t xml:space="preserve"> the flexibility to configure the RSRP </w:t>
      </w:r>
      <w:proofErr w:type="spellStart"/>
      <w:r w:rsidR="00C56B5E">
        <w:t>therhold</w:t>
      </w:r>
      <w:proofErr w:type="spellEnd"/>
      <w:r w:rsidR="00C56B5E">
        <w:t xml:space="preserve"> for Msg4 HARQ-ACK repetition</w:t>
      </w:r>
      <w:r w:rsidR="00723AF5">
        <w:t xml:space="preserve"> independent of that for Msg3 repetition</w:t>
      </w:r>
      <w:r w:rsidR="00A67F6B">
        <w:t xml:space="preserve">. </w:t>
      </w:r>
      <w:r w:rsidR="00264C20">
        <w:t>It should be noticed that</w:t>
      </w:r>
      <w:r w:rsidR="0089447A">
        <w:t xml:space="preserve"> the necessity of the RSRP threshold may be questionable in some cases, hence </w:t>
      </w:r>
      <w:r w:rsidR="008502B8">
        <w:t xml:space="preserve">the configuration of RSRP threshold should be optional. </w:t>
      </w:r>
      <w:proofErr w:type="gramStart"/>
      <w:r w:rsidR="00A67F6B">
        <w:t>Hence</w:t>
      </w:r>
      <w:proofErr w:type="gramEnd"/>
      <w:r w:rsidR="00A67F6B">
        <w:t xml:space="preserve"> we have the following proposal.</w:t>
      </w:r>
    </w:p>
    <w:p w14:paraId="02E68596" w14:textId="57441CF2" w:rsidR="008502B8" w:rsidRPr="00712A81" w:rsidRDefault="00A67F6B" w:rsidP="00176394">
      <w:pPr>
        <w:rPr>
          <w:b/>
          <w:bCs/>
        </w:rPr>
      </w:pPr>
      <w:bookmarkStart w:id="4" w:name="_Hlk134735037"/>
      <w:r w:rsidRPr="00312770">
        <w:rPr>
          <w:b/>
          <w:bCs/>
        </w:rPr>
        <w:t xml:space="preserve">Proposal 1: </w:t>
      </w:r>
      <w:r w:rsidR="00D0773F" w:rsidRPr="00712A81">
        <w:rPr>
          <w:b/>
          <w:bCs/>
        </w:rPr>
        <w:t xml:space="preserve">For the determination </w:t>
      </w:r>
      <w:proofErr w:type="gramStart"/>
      <w:r w:rsidR="00D0773F" w:rsidRPr="00712A81">
        <w:rPr>
          <w:b/>
          <w:bCs/>
        </w:rPr>
        <w:t>of  whether</w:t>
      </w:r>
      <w:proofErr w:type="gramEnd"/>
      <w:r w:rsidR="00D0773F" w:rsidRPr="00712A81">
        <w:rPr>
          <w:b/>
          <w:bCs/>
        </w:rPr>
        <w:t xml:space="preserve"> </w:t>
      </w:r>
      <w:r w:rsidR="00220B5C" w:rsidRPr="00712A81">
        <w:rPr>
          <w:b/>
          <w:bCs/>
        </w:rPr>
        <w:t xml:space="preserve">or not </w:t>
      </w:r>
      <w:r w:rsidR="00D002B2" w:rsidRPr="00712A81">
        <w:rPr>
          <w:b/>
          <w:bCs/>
        </w:rPr>
        <w:t xml:space="preserve">a </w:t>
      </w:r>
      <w:r w:rsidR="00D0773F" w:rsidRPr="00712A81">
        <w:rPr>
          <w:b/>
          <w:bCs/>
        </w:rPr>
        <w:t>UE capable of PUCCH repetition for Msg4 HARQ-ACK transmits repetition request</w:t>
      </w:r>
      <w:r w:rsidR="00724A54" w:rsidRPr="00712A81">
        <w:rPr>
          <w:b/>
          <w:bCs/>
        </w:rPr>
        <w:t xml:space="preserve"> or </w:t>
      </w:r>
      <w:r w:rsidR="00472A36" w:rsidRPr="00712A81">
        <w:rPr>
          <w:b/>
          <w:bCs/>
        </w:rPr>
        <w:t>capability indication</w:t>
      </w:r>
      <w:r w:rsidR="009E2FE2" w:rsidRPr="00712A81">
        <w:rPr>
          <w:b/>
          <w:bCs/>
        </w:rPr>
        <w:t xml:space="preserve">, </w:t>
      </w:r>
      <w:r w:rsidR="00D0773F" w:rsidRPr="00712A81">
        <w:rPr>
          <w:b/>
          <w:bCs/>
        </w:rPr>
        <w:t xml:space="preserve"> </w:t>
      </w:r>
      <w:r w:rsidR="009E2FE2" w:rsidRPr="00712A81">
        <w:rPr>
          <w:b/>
          <w:bCs/>
        </w:rPr>
        <w:t>a</w:t>
      </w:r>
      <w:r w:rsidR="00312770" w:rsidRPr="00712A81">
        <w:rPr>
          <w:b/>
          <w:bCs/>
        </w:rPr>
        <w:t xml:space="preserve"> new RSRP threshold </w:t>
      </w:r>
      <w:r w:rsidR="00BE0B35" w:rsidRPr="00712A81">
        <w:rPr>
          <w:b/>
          <w:bCs/>
        </w:rPr>
        <w:t>can be optionally configured</w:t>
      </w:r>
      <w:r w:rsidR="00312770" w:rsidRPr="00712A81">
        <w:rPr>
          <w:b/>
          <w:bCs/>
        </w:rPr>
        <w:t xml:space="preserve"> for PUCCH repetition for Msg4 HARQ-ACK.</w:t>
      </w:r>
    </w:p>
    <w:p w14:paraId="524EE760" w14:textId="1F59DBE2" w:rsidR="00BE0B35" w:rsidRPr="00712A81" w:rsidRDefault="00BE0B35" w:rsidP="00220B5C">
      <w:pPr>
        <w:pStyle w:val="ListParagraph"/>
        <w:numPr>
          <w:ilvl w:val="0"/>
          <w:numId w:val="49"/>
        </w:numPr>
        <w:rPr>
          <w:rFonts w:ascii="Times New Roman" w:hAnsi="Times New Roman"/>
          <w:b/>
          <w:bCs/>
          <w:sz w:val="20"/>
          <w:szCs w:val="20"/>
        </w:rPr>
      </w:pPr>
      <w:r w:rsidRPr="00712A81">
        <w:rPr>
          <w:rFonts w:ascii="Times New Roman" w:hAnsi="Times New Roman"/>
          <w:b/>
          <w:bCs/>
          <w:sz w:val="20"/>
          <w:szCs w:val="20"/>
        </w:rPr>
        <w:t xml:space="preserve">When not </w:t>
      </w:r>
      <w:r w:rsidR="009E2FE2" w:rsidRPr="00712A81">
        <w:rPr>
          <w:rFonts w:ascii="Times New Roman" w:hAnsi="Times New Roman"/>
          <w:b/>
          <w:bCs/>
          <w:sz w:val="20"/>
          <w:szCs w:val="20"/>
        </w:rPr>
        <w:t>configured</w:t>
      </w:r>
      <w:r w:rsidRPr="00712A81">
        <w:rPr>
          <w:rFonts w:ascii="Times New Roman" w:hAnsi="Times New Roman"/>
          <w:b/>
          <w:bCs/>
          <w:sz w:val="20"/>
          <w:szCs w:val="20"/>
        </w:rPr>
        <w:t xml:space="preserve">, </w:t>
      </w:r>
      <w:r w:rsidR="009E2FE2" w:rsidRPr="00712A81">
        <w:rPr>
          <w:rFonts w:ascii="Times New Roman" w:hAnsi="Times New Roman"/>
          <w:b/>
          <w:bCs/>
          <w:sz w:val="20"/>
          <w:szCs w:val="20"/>
        </w:rPr>
        <w:t xml:space="preserve">a UE capable of PUCCH repetition for Msg4 HARQ-ACK always </w:t>
      </w:r>
      <w:r w:rsidR="00724A54" w:rsidRPr="00712A81">
        <w:rPr>
          <w:rFonts w:ascii="Times New Roman" w:hAnsi="Times New Roman"/>
          <w:b/>
          <w:bCs/>
          <w:sz w:val="20"/>
          <w:szCs w:val="20"/>
        </w:rPr>
        <w:t>indicates its capability.</w:t>
      </w:r>
      <w:r w:rsidRPr="00712A81">
        <w:rPr>
          <w:rFonts w:ascii="Times New Roman" w:hAnsi="Times New Roman"/>
          <w:b/>
          <w:bCs/>
          <w:sz w:val="20"/>
          <w:szCs w:val="20"/>
        </w:rPr>
        <w:t xml:space="preserve"> </w:t>
      </w:r>
    </w:p>
    <w:bookmarkEnd w:id="4"/>
    <w:p w14:paraId="2CD10871" w14:textId="77777777" w:rsidR="00EB0652" w:rsidRDefault="00EB0652" w:rsidP="005422D5"/>
    <w:p w14:paraId="490CEC8D" w14:textId="77777777" w:rsidR="00AF1EC5" w:rsidRDefault="00AF1EC5" w:rsidP="00AF1EC5"/>
    <w:p w14:paraId="7269F0EA" w14:textId="79FDB578" w:rsidR="008541CA" w:rsidRPr="00DB0745" w:rsidRDefault="003F39D5" w:rsidP="00C2117A">
      <w:pPr>
        <w:pStyle w:val="Heading1"/>
      </w:pPr>
      <w:r>
        <w:rPr>
          <w:lang w:val="en-US"/>
        </w:rPr>
        <w:t>DMRS Bundling</w:t>
      </w:r>
    </w:p>
    <w:p w14:paraId="0ED65881" w14:textId="08414737" w:rsidR="00945B6B" w:rsidRDefault="00945B6B" w:rsidP="000031C4">
      <w:pPr>
        <w:rPr>
          <w:lang w:val="en-GB"/>
        </w:rPr>
      </w:pPr>
      <w:r>
        <w:rPr>
          <w:lang w:val="en-GB"/>
        </w:rPr>
        <w:t>The max TDW that a UE can support depends on UE implem</w:t>
      </w:r>
      <w:r w:rsidR="0039233F">
        <w:rPr>
          <w:lang w:val="en-GB"/>
        </w:rPr>
        <w:t>entation</w:t>
      </w:r>
      <w:r w:rsidR="00E345F2">
        <w:rPr>
          <w:lang w:val="en-GB"/>
        </w:rPr>
        <w:t xml:space="preserve">. </w:t>
      </w:r>
      <w:r w:rsidR="006504B1">
        <w:t xml:space="preserve">Whether UE </w:t>
      </w:r>
      <w:r w:rsidR="002146AC">
        <w:t>ca</w:t>
      </w:r>
      <w:r w:rsidR="00A97F5E">
        <w:t>n</w:t>
      </w:r>
      <w:r w:rsidR="006504B1">
        <w:t xml:space="preserve"> </w:t>
      </w:r>
      <w:proofErr w:type="spellStart"/>
      <w:r w:rsidR="006504B1">
        <w:t>perorm</w:t>
      </w:r>
      <w:proofErr w:type="spellEnd"/>
      <w:r w:rsidR="006504B1">
        <w:t xml:space="preserve"> TA pre-compensation update </w:t>
      </w:r>
      <w:r w:rsidR="002146AC">
        <w:t xml:space="preserve">during </w:t>
      </w:r>
      <w:r w:rsidR="00A97F5E">
        <w:t>a TDW affect</w:t>
      </w:r>
      <w:r w:rsidR="000D21EF">
        <w:t>s</w:t>
      </w:r>
      <w:r w:rsidR="00A97F5E">
        <w:t xml:space="preserve"> the max TDW size that the UE can support</w:t>
      </w:r>
      <w:r w:rsidR="000C01B1">
        <w:t xml:space="preserve"> but is not required to be known by the network</w:t>
      </w:r>
      <w:r w:rsidR="003D1FDB">
        <w:t xml:space="preserve">. </w:t>
      </w:r>
      <w:r w:rsidR="000C01B1">
        <w:t xml:space="preserve"> </w:t>
      </w:r>
      <w:r w:rsidR="003D1FDB">
        <w:rPr>
          <w:lang w:val="en-GB"/>
        </w:rPr>
        <w:t xml:space="preserve">It’s UE’s responsibility to ensure compliance </w:t>
      </w:r>
      <w:proofErr w:type="gramStart"/>
      <w:r w:rsidR="003D1FDB">
        <w:rPr>
          <w:lang w:val="en-GB"/>
        </w:rPr>
        <w:t>of  relevant</w:t>
      </w:r>
      <w:proofErr w:type="gramEnd"/>
      <w:r w:rsidR="003D1FDB">
        <w:rPr>
          <w:lang w:val="en-GB"/>
        </w:rPr>
        <w:t xml:space="preserve"> requirements during a TDW, such as the phase continuity requirement defined in Table </w:t>
      </w:r>
      <w:r w:rsidR="003D1FDB" w:rsidRPr="00615209">
        <w:t>6.4.2.5-1</w:t>
      </w:r>
      <w:r w:rsidR="003D1FDB">
        <w:t xml:space="preserve"> of TS 38.101-1 [2].</w:t>
      </w:r>
    </w:p>
    <w:p w14:paraId="34DCC604" w14:textId="0D8BA4E5" w:rsidR="00967126" w:rsidRDefault="00D45985" w:rsidP="000031C4">
      <w:pPr>
        <w:rPr>
          <w:lang w:val="en-GB"/>
        </w:rPr>
      </w:pPr>
      <w:r>
        <w:rPr>
          <w:lang w:val="en-GB"/>
        </w:rPr>
        <w:t>For certain</w:t>
      </w:r>
      <w:r w:rsidR="00AA6109">
        <w:rPr>
          <w:lang w:val="en-GB"/>
        </w:rPr>
        <w:t xml:space="preserve"> UE implementation, max TDW size that a UE can support may differ largely </w:t>
      </w:r>
      <w:r>
        <w:rPr>
          <w:lang w:val="en-GB"/>
        </w:rPr>
        <w:t>depending on the Doppler</w:t>
      </w:r>
      <w:r w:rsidR="00967126">
        <w:rPr>
          <w:lang w:val="en-GB"/>
        </w:rPr>
        <w:t xml:space="preserve">. Consequently, it </w:t>
      </w:r>
      <w:r w:rsidR="00591207">
        <w:rPr>
          <w:lang w:val="en-GB"/>
        </w:rPr>
        <w:t xml:space="preserve">has been </w:t>
      </w:r>
      <w:r w:rsidR="00B1257C">
        <w:rPr>
          <w:lang w:val="en-GB"/>
        </w:rPr>
        <w:t xml:space="preserve">proposed to report different </w:t>
      </w:r>
      <w:r w:rsidR="00AA6109">
        <w:rPr>
          <w:lang w:val="en-GB"/>
        </w:rPr>
        <w:t xml:space="preserve">max TDW size depending on the type of satellites and/or elevation angles. </w:t>
      </w:r>
      <w:r w:rsidR="00F3563D">
        <w:rPr>
          <w:lang w:val="en-GB"/>
        </w:rPr>
        <w:t xml:space="preserve">Although it’s plausible to </w:t>
      </w:r>
      <w:r w:rsidR="0043737B">
        <w:rPr>
          <w:lang w:val="en-GB"/>
        </w:rPr>
        <w:t xml:space="preserve">allow UE to </w:t>
      </w:r>
      <w:proofErr w:type="gramStart"/>
      <w:r w:rsidR="0043737B">
        <w:rPr>
          <w:lang w:val="en-GB"/>
        </w:rPr>
        <w:t xml:space="preserve">report </w:t>
      </w:r>
      <w:r w:rsidR="00EA1AE8">
        <w:rPr>
          <w:lang w:val="en-GB"/>
        </w:rPr>
        <w:t xml:space="preserve"> </w:t>
      </w:r>
      <w:r w:rsidR="0043737B">
        <w:rPr>
          <w:lang w:val="en-GB"/>
        </w:rPr>
        <w:t>different</w:t>
      </w:r>
      <w:proofErr w:type="gramEnd"/>
      <w:r w:rsidR="0043737B">
        <w:rPr>
          <w:lang w:val="en-GB"/>
        </w:rPr>
        <w:t xml:space="preserve"> TDW capabilities </w:t>
      </w:r>
      <w:r w:rsidR="00EA1AE8">
        <w:rPr>
          <w:lang w:val="en-GB"/>
        </w:rPr>
        <w:t xml:space="preserve">for different </w:t>
      </w:r>
      <w:r w:rsidR="00A34EBF">
        <w:rPr>
          <w:lang w:val="en-GB"/>
        </w:rPr>
        <w:t xml:space="preserve">elevation angles, </w:t>
      </w:r>
      <w:r w:rsidR="00D9649A">
        <w:rPr>
          <w:lang w:val="en-GB"/>
        </w:rPr>
        <w:t xml:space="preserve">additional </w:t>
      </w:r>
      <w:proofErr w:type="spellStart"/>
      <w:r w:rsidR="00D9649A">
        <w:rPr>
          <w:lang w:val="en-GB"/>
        </w:rPr>
        <w:t>meachnisms</w:t>
      </w:r>
      <w:proofErr w:type="spellEnd"/>
      <w:r w:rsidR="00D9649A">
        <w:rPr>
          <w:lang w:val="en-GB"/>
        </w:rPr>
        <w:t xml:space="preserve"> and </w:t>
      </w:r>
      <w:proofErr w:type="spellStart"/>
      <w:r w:rsidR="00D9649A">
        <w:rPr>
          <w:lang w:val="en-GB"/>
        </w:rPr>
        <w:t>signaling</w:t>
      </w:r>
      <w:r w:rsidR="00304DA4">
        <w:rPr>
          <w:lang w:val="en-GB"/>
        </w:rPr>
        <w:t>s</w:t>
      </w:r>
      <w:proofErr w:type="spellEnd"/>
      <w:r w:rsidR="00D9649A">
        <w:rPr>
          <w:lang w:val="en-GB"/>
        </w:rPr>
        <w:t xml:space="preserve"> are needed to ensure </w:t>
      </w:r>
      <w:r w:rsidR="0018233C">
        <w:rPr>
          <w:lang w:val="en-GB"/>
        </w:rPr>
        <w:t xml:space="preserve">network </w:t>
      </w:r>
      <w:r w:rsidR="00267E45">
        <w:rPr>
          <w:lang w:val="en-GB"/>
        </w:rPr>
        <w:t xml:space="preserve">and UE </w:t>
      </w:r>
      <w:r w:rsidR="00534178">
        <w:rPr>
          <w:lang w:val="en-GB"/>
        </w:rPr>
        <w:t xml:space="preserve"> have </w:t>
      </w:r>
      <w:r w:rsidR="00304DA4">
        <w:rPr>
          <w:lang w:val="en-GB"/>
        </w:rPr>
        <w:t>the same</w:t>
      </w:r>
      <w:r w:rsidR="00534178">
        <w:rPr>
          <w:lang w:val="en-GB"/>
        </w:rPr>
        <w:t xml:space="preserve"> understanding of </w:t>
      </w:r>
      <w:r w:rsidR="00304DA4">
        <w:rPr>
          <w:lang w:val="en-GB"/>
        </w:rPr>
        <w:t>UE’s</w:t>
      </w:r>
      <w:r w:rsidR="00534178">
        <w:rPr>
          <w:lang w:val="en-GB"/>
        </w:rPr>
        <w:t xml:space="preserve"> capability</w:t>
      </w:r>
      <w:r w:rsidR="00ED13F9">
        <w:rPr>
          <w:lang w:val="en-GB"/>
        </w:rPr>
        <w:t xml:space="preserve"> at a time</w:t>
      </w:r>
      <w:r w:rsidR="00534178">
        <w:rPr>
          <w:lang w:val="en-GB"/>
        </w:rPr>
        <w:t>.</w:t>
      </w:r>
      <w:r w:rsidR="00ED13F9">
        <w:rPr>
          <w:lang w:val="en-GB"/>
        </w:rPr>
        <w:t xml:space="preserve"> For instance, in an quasi earth-fixed cell, the </w:t>
      </w:r>
      <w:proofErr w:type="spellStart"/>
      <w:r w:rsidR="00ED13F9">
        <w:rPr>
          <w:lang w:val="en-GB"/>
        </w:rPr>
        <w:t>elvation</w:t>
      </w:r>
      <w:proofErr w:type="spellEnd"/>
      <w:r w:rsidR="00ED13F9">
        <w:rPr>
          <w:lang w:val="en-GB"/>
        </w:rPr>
        <w:t xml:space="preserve"> angle </w:t>
      </w:r>
      <w:r w:rsidR="008A0F42">
        <w:rPr>
          <w:lang w:val="en-GB"/>
        </w:rPr>
        <w:t xml:space="preserve">seen by a UE </w:t>
      </w:r>
      <w:r w:rsidR="00ED13F9">
        <w:rPr>
          <w:lang w:val="en-GB"/>
        </w:rPr>
        <w:t>may change from -30</w:t>
      </w:r>
      <w:r w:rsidR="008A0F42" w:rsidRPr="008A0F42">
        <w:rPr>
          <w:vertAlign w:val="superscript"/>
          <w:lang w:val="en-GB"/>
        </w:rPr>
        <w:t>0</w:t>
      </w:r>
      <w:r w:rsidR="00ED13F9">
        <w:rPr>
          <w:lang w:val="en-GB"/>
        </w:rPr>
        <w:t xml:space="preserve"> to </w:t>
      </w:r>
      <w:proofErr w:type="gramStart"/>
      <w:r w:rsidR="00ED13F9">
        <w:rPr>
          <w:lang w:val="en-GB"/>
        </w:rPr>
        <w:t>3</w:t>
      </w:r>
      <w:r w:rsidR="008A0F42">
        <w:rPr>
          <w:lang w:val="en-GB"/>
        </w:rPr>
        <w:t>0</w:t>
      </w:r>
      <w:r w:rsidR="00ED13F9" w:rsidRPr="008A0F42">
        <w:rPr>
          <w:vertAlign w:val="superscript"/>
          <w:lang w:val="en-GB"/>
        </w:rPr>
        <w:t xml:space="preserve">0 </w:t>
      </w:r>
      <w:r w:rsidR="00534178" w:rsidRPr="008A0F42">
        <w:rPr>
          <w:vertAlign w:val="superscript"/>
          <w:lang w:val="en-GB"/>
        </w:rPr>
        <w:t xml:space="preserve"> </w:t>
      </w:r>
      <w:r w:rsidR="008A0F42">
        <w:rPr>
          <w:lang w:val="en-GB"/>
        </w:rPr>
        <w:t>as</w:t>
      </w:r>
      <w:proofErr w:type="gramEnd"/>
      <w:r w:rsidR="008A0F42">
        <w:rPr>
          <w:lang w:val="en-GB"/>
        </w:rPr>
        <w:t xml:space="preserve"> satellite moves. </w:t>
      </w:r>
      <w:r w:rsidR="00E92458">
        <w:rPr>
          <w:lang w:val="en-GB"/>
        </w:rPr>
        <w:t>To ensure the same understa</w:t>
      </w:r>
      <w:r w:rsidR="002E13CA">
        <w:rPr>
          <w:lang w:val="en-GB"/>
        </w:rPr>
        <w:t xml:space="preserve">nding of the max TDW per PUSCH between network and UE is not trivial. </w:t>
      </w:r>
      <w:r w:rsidR="00EA1784">
        <w:rPr>
          <w:lang w:val="en-GB"/>
        </w:rPr>
        <w:t>A bett</w:t>
      </w:r>
      <w:r w:rsidR="000903AE">
        <w:rPr>
          <w:lang w:val="en-GB"/>
        </w:rPr>
        <w:t>e</w:t>
      </w:r>
      <w:r w:rsidR="00EA1784">
        <w:rPr>
          <w:lang w:val="en-GB"/>
        </w:rPr>
        <w:t xml:space="preserve">r approach is to have UE report max TDW size per </w:t>
      </w:r>
      <w:r w:rsidR="006C3CC6">
        <w:rPr>
          <w:lang w:val="en-GB"/>
        </w:rPr>
        <w:t xml:space="preserve">platform. </w:t>
      </w:r>
      <w:r w:rsidR="006F5B73">
        <w:rPr>
          <w:lang w:val="en-GB"/>
        </w:rPr>
        <w:t xml:space="preserve">Since the maximal Doppler in LEO is </w:t>
      </w:r>
      <w:r w:rsidR="005B453A">
        <w:rPr>
          <w:lang w:val="en-GB"/>
        </w:rPr>
        <w:t xml:space="preserve">about twice of that in MEO and substantially higher than in GEO and HAPS, </w:t>
      </w:r>
      <w:r w:rsidR="00BE650C">
        <w:rPr>
          <w:lang w:val="en-GB"/>
        </w:rPr>
        <w:t xml:space="preserve">we suggest </w:t>
      </w:r>
      <w:proofErr w:type="gramStart"/>
      <w:r w:rsidR="00BE650C">
        <w:rPr>
          <w:lang w:val="en-GB"/>
        </w:rPr>
        <w:t>to report</w:t>
      </w:r>
      <w:proofErr w:type="gramEnd"/>
      <w:r w:rsidR="00BE650C">
        <w:rPr>
          <w:lang w:val="en-GB"/>
        </w:rPr>
        <w:t xml:space="preserve"> max TDW per platform: GEO/HAPs and NGSO.</w:t>
      </w:r>
    </w:p>
    <w:p w14:paraId="22ECC438" w14:textId="7F3DD07E" w:rsidR="00A2146D" w:rsidRDefault="006C3CC6" w:rsidP="00A2146D">
      <w:pPr>
        <w:rPr>
          <w:b/>
          <w:bCs/>
          <w:lang w:val="en-GB"/>
        </w:rPr>
      </w:pPr>
      <w:r w:rsidRPr="00A2146D">
        <w:rPr>
          <w:b/>
          <w:bCs/>
          <w:lang w:val="en-GB"/>
        </w:rPr>
        <w:t xml:space="preserve">Proposal 2: </w:t>
      </w:r>
      <w:r w:rsidR="008D1106" w:rsidRPr="00A2146D">
        <w:rPr>
          <w:b/>
          <w:bCs/>
          <w:lang w:val="en-GB"/>
        </w:rPr>
        <w:t xml:space="preserve">For NR NTN DMRS bundling, </w:t>
      </w:r>
      <w:r w:rsidR="00500890" w:rsidRPr="00A2146D">
        <w:rPr>
          <w:b/>
          <w:bCs/>
          <w:lang w:val="en-GB"/>
        </w:rPr>
        <w:t xml:space="preserve">UE </w:t>
      </w:r>
      <w:proofErr w:type="gramStart"/>
      <w:r w:rsidR="00500890" w:rsidRPr="00A2146D">
        <w:rPr>
          <w:b/>
          <w:bCs/>
          <w:lang w:val="en-GB"/>
        </w:rPr>
        <w:t>report</w:t>
      </w:r>
      <w:r w:rsidR="00524B12">
        <w:rPr>
          <w:b/>
          <w:bCs/>
          <w:lang w:val="en-GB"/>
        </w:rPr>
        <w:t>s</w:t>
      </w:r>
      <w:r w:rsidR="00500890" w:rsidRPr="00A2146D">
        <w:rPr>
          <w:b/>
          <w:bCs/>
          <w:lang w:val="en-GB"/>
        </w:rPr>
        <w:t xml:space="preserve"> </w:t>
      </w:r>
      <w:r w:rsidR="004E1929" w:rsidRPr="00A2146D">
        <w:rPr>
          <w:b/>
          <w:bCs/>
          <w:lang w:val="en-GB"/>
        </w:rPr>
        <w:t xml:space="preserve"> a</w:t>
      </w:r>
      <w:proofErr w:type="gramEnd"/>
      <w:r w:rsidR="004E1929" w:rsidRPr="00A2146D">
        <w:rPr>
          <w:b/>
          <w:bCs/>
          <w:lang w:val="en-GB"/>
        </w:rPr>
        <w:t xml:space="preserve"> </w:t>
      </w:r>
      <w:r w:rsidR="00E81E9E" w:rsidRPr="00A2146D">
        <w:rPr>
          <w:b/>
          <w:bCs/>
          <w:lang w:val="en-GB"/>
        </w:rPr>
        <w:t>max TDW size for GEO</w:t>
      </w:r>
      <w:r w:rsidR="00D61C3C" w:rsidRPr="00A2146D">
        <w:rPr>
          <w:b/>
          <w:bCs/>
          <w:lang w:val="en-GB"/>
        </w:rPr>
        <w:t>/HAPs</w:t>
      </w:r>
      <w:r w:rsidR="00E81E9E" w:rsidRPr="00A2146D">
        <w:rPr>
          <w:b/>
          <w:bCs/>
          <w:lang w:val="en-GB"/>
        </w:rPr>
        <w:t xml:space="preserve"> and </w:t>
      </w:r>
      <w:r w:rsidR="005C2D20" w:rsidRPr="00A2146D">
        <w:rPr>
          <w:b/>
          <w:bCs/>
          <w:lang w:val="en-GB"/>
        </w:rPr>
        <w:t xml:space="preserve">a max TDW size </w:t>
      </w:r>
      <w:r w:rsidR="008D1106" w:rsidRPr="00A2146D">
        <w:rPr>
          <w:b/>
          <w:bCs/>
          <w:lang w:val="en-GB"/>
        </w:rPr>
        <w:t xml:space="preserve"> </w:t>
      </w:r>
      <w:r w:rsidR="00D61C3C" w:rsidRPr="00A2146D">
        <w:rPr>
          <w:b/>
          <w:bCs/>
          <w:lang w:val="en-GB"/>
        </w:rPr>
        <w:t>for NGSO.</w:t>
      </w:r>
    </w:p>
    <w:p w14:paraId="73291B29" w14:textId="1F0877E8" w:rsidR="00E60E6D" w:rsidRPr="00A2146D" w:rsidRDefault="002C5428" w:rsidP="00A2146D">
      <w:pPr>
        <w:pStyle w:val="ListParagraph"/>
        <w:numPr>
          <w:ilvl w:val="0"/>
          <w:numId w:val="49"/>
        </w:numPr>
        <w:rPr>
          <w:b/>
          <w:bCs/>
          <w:lang w:val="en-GB"/>
        </w:rPr>
      </w:pPr>
      <w:r w:rsidRPr="00A2146D">
        <w:rPr>
          <w:b/>
          <w:bCs/>
          <w:lang w:val="en-GB"/>
        </w:rPr>
        <w:t>W</w:t>
      </w:r>
      <w:r w:rsidR="00E60E6D" w:rsidRPr="00A2146D">
        <w:rPr>
          <w:b/>
          <w:bCs/>
          <w:lang w:val="en-GB"/>
        </w:rPr>
        <w:t xml:space="preserve">hether or not to perform TA </w:t>
      </w:r>
      <w:proofErr w:type="spellStart"/>
      <w:r w:rsidR="00E60E6D" w:rsidRPr="00A2146D">
        <w:rPr>
          <w:b/>
          <w:bCs/>
          <w:lang w:val="en-GB"/>
        </w:rPr>
        <w:t>precompenstion</w:t>
      </w:r>
      <w:proofErr w:type="spellEnd"/>
      <w:r w:rsidR="00E60E6D" w:rsidRPr="00A2146D">
        <w:rPr>
          <w:b/>
          <w:bCs/>
          <w:lang w:val="en-GB"/>
        </w:rPr>
        <w:t xml:space="preserve"> update during a TDW</w:t>
      </w:r>
      <w:r w:rsidRPr="00A2146D">
        <w:rPr>
          <w:b/>
          <w:bCs/>
          <w:lang w:val="en-GB"/>
        </w:rPr>
        <w:t xml:space="preserve"> is up to UE implementation.</w:t>
      </w:r>
    </w:p>
    <w:p w14:paraId="0642E093" w14:textId="77777777" w:rsidR="00D61C3C" w:rsidRPr="008A0F42" w:rsidRDefault="00D61C3C" w:rsidP="000031C4">
      <w:pPr>
        <w:rPr>
          <w:lang w:val="en-GB"/>
        </w:rPr>
      </w:pPr>
    </w:p>
    <w:p w14:paraId="253C66D2" w14:textId="77777777" w:rsidR="00967126" w:rsidRDefault="00967126" w:rsidP="000031C4">
      <w:pPr>
        <w:rPr>
          <w:lang w:val="en-GB"/>
        </w:rPr>
      </w:pPr>
    </w:p>
    <w:p w14:paraId="28E3D8C8" w14:textId="7FFDFA15" w:rsidR="000031C4" w:rsidRDefault="000031C4" w:rsidP="004D6158">
      <w:pPr>
        <w:autoSpaceDE/>
        <w:autoSpaceDN/>
        <w:adjustRightInd/>
        <w:spacing w:line="230" w:lineRule="auto"/>
        <w:textAlignment w:val="auto"/>
      </w:pPr>
      <w:r w:rsidRPr="000031C4">
        <w:t xml:space="preserve">In addition, it has been shown that transmit antenna switching </w:t>
      </w:r>
      <w:r>
        <w:t>provides significan</w:t>
      </w:r>
      <w:r w:rsidR="00DD721C">
        <w:t xml:space="preserve">t </w:t>
      </w:r>
      <w:proofErr w:type="spellStart"/>
      <w:r w:rsidR="00DD721C">
        <w:t>perormance</w:t>
      </w:r>
      <w:proofErr w:type="spellEnd"/>
      <w:r>
        <w:t xml:space="preserve"> gain. </w:t>
      </w:r>
      <w:r w:rsidR="000D7566">
        <w:t xml:space="preserve">Consider a </w:t>
      </w:r>
      <w:r w:rsidR="00D3060B">
        <w:t xml:space="preserve">UL transmission that requires </w:t>
      </w:r>
      <w:r w:rsidR="002E1F6E">
        <w:t>16</w:t>
      </w:r>
      <w:r w:rsidR="00D3060B">
        <w:t xml:space="preserve"> </w:t>
      </w:r>
      <w:r w:rsidR="00C80A86">
        <w:t xml:space="preserve">consecutive slots, </w:t>
      </w:r>
      <w:r w:rsidR="00512858">
        <w:t>two DMRS bundling wi</w:t>
      </w:r>
      <w:r w:rsidR="00053AB4">
        <w:t>n</w:t>
      </w:r>
      <w:r w:rsidR="00512858">
        <w:t>dows</w:t>
      </w:r>
      <w:r w:rsidR="005E4171">
        <w:t xml:space="preserve"> </w:t>
      </w:r>
      <w:r w:rsidR="0069726D">
        <w:t>of</w:t>
      </w:r>
      <w:r w:rsidR="001F1A05">
        <w:t xml:space="preserve"> </w:t>
      </w:r>
      <w:r w:rsidR="002E1F6E">
        <w:t>8</w:t>
      </w:r>
      <w:r w:rsidR="005466F5">
        <w:t xml:space="preserve"> slots </w:t>
      </w:r>
      <w:r w:rsidR="00512858">
        <w:t xml:space="preserve">each </w:t>
      </w:r>
      <w:r w:rsidR="005E4171">
        <w:t>provides mo</w:t>
      </w:r>
      <w:r w:rsidR="002E1F6E">
        <w:t>re than 1.5 dB gain</w:t>
      </w:r>
      <w:r w:rsidR="00053AB4">
        <w:t xml:space="preserve"> than one DMRS bundling window of 16 slots</w:t>
      </w:r>
      <w:r w:rsidR="00B202E8">
        <w:t xml:space="preserve"> </w:t>
      </w:r>
      <w:r w:rsidR="00FE4792">
        <w:t>[3]</w:t>
      </w:r>
      <w:r w:rsidR="00053AB4">
        <w:t>.</w:t>
      </w:r>
      <w:r w:rsidR="0077603B">
        <w:t xml:space="preserve"> For a UE capable of DMRS bundling size 16 and transmit antenna switching, it is preferred to </w:t>
      </w:r>
      <w:proofErr w:type="gramStart"/>
      <w:r w:rsidR="00403D37">
        <w:t xml:space="preserve">have </w:t>
      </w:r>
      <w:r w:rsidR="0077603B">
        <w:t xml:space="preserve"> </w:t>
      </w:r>
      <w:r w:rsidR="00496486">
        <w:t>8</w:t>
      </w:r>
      <w:proofErr w:type="gramEnd"/>
      <w:r w:rsidR="00496486">
        <w:t xml:space="preserve"> slots for TDW instead of 16</w:t>
      </w:r>
      <w:r w:rsidR="00E138CF">
        <w:t xml:space="preserve"> slots</w:t>
      </w:r>
      <w:r w:rsidR="00496486">
        <w:t xml:space="preserve">. To enable </w:t>
      </w:r>
      <w:proofErr w:type="spellStart"/>
      <w:r w:rsidR="006B1270">
        <w:t>approriate</w:t>
      </w:r>
      <w:proofErr w:type="spellEnd"/>
      <w:r w:rsidR="00E138CF">
        <w:t xml:space="preserve"> TDW size, </w:t>
      </w:r>
      <w:r w:rsidR="0008131A">
        <w:t xml:space="preserve">UE capability of transmit antenna switching should be supported </w:t>
      </w:r>
      <w:r w:rsidR="00D61D79">
        <w:t>wh</w:t>
      </w:r>
      <w:r w:rsidR="0049363F">
        <w:t>en UE indicates</w:t>
      </w:r>
      <w:r w:rsidR="00D61D79">
        <w:t xml:space="preserve"> that the maximal </w:t>
      </w:r>
      <w:r w:rsidR="003A28A1">
        <w:t>TDW size</w:t>
      </w:r>
      <w:r w:rsidR="00D61D79">
        <w:t xml:space="preserve"> </w:t>
      </w:r>
      <w:r w:rsidR="0049363F">
        <w:t>is greater than 1.</w:t>
      </w:r>
    </w:p>
    <w:p w14:paraId="0A0FB56C" w14:textId="757E7484" w:rsidR="0049363F" w:rsidRDefault="0049363F" w:rsidP="004D6158">
      <w:pPr>
        <w:autoSpaceDE/>
        <w:autoSpaceDN/>
        <w:adjustRightInd/>
        <w:spacing w:line="230" w:lineRule="auto"/>
        <w:textAlignment w:val="auto"/>
        <w:rPr>
          <w:rFonts w:eastAsia="Calibri"/>
          <w:b/>
          <w:bCs/>
          <w:color w:val="000000" w:themeColor="text1"/>
          <w:kern w:val="24"/>
          <w:lang w:val="en-GB"/>
        </w:rPr>
      </w:pPr>
      <w:bookmarkStart w:id="5" w:name="_Hlk134735212"/>
      <w:r w:rsidRPr="0020278B">
        <w:rPr>
          <w:rFonts w:eastAsia="Calibri"/>
          <w:b/>
          <w:bCs/>
          <w:color w:val="000000" w:themeColor="text1"/>
          <w:kern w:val="24"/>
          <w:lang w:val="en-GB"/>
        </w:rPr>
        <w:t xml:space="preserve">Proposal </w:t>
      </w:r>
      <w:r w:rsidR="003D5D0F">
        <w:rPr>
          <w:rFonts w:eastAsia="Calibri"/>
          <w:b/>
          <w:bCs/>
          <w:color w:val="000000" w:themeColor="text1"/>
          <w:kern w:val="24"/>
          <w:lang w:val="en-GB"/>
        </w:rPr>
        <w:t>3</w:t>
      </w:r>
      <w:r w:rsidRPr="0020278B">
        <w:rPr>
          <w:rFonts w:eastAsia="Calibri"/>
          <w:b/>
          <w:bCs/>
          <w:color w:val="000000" w:themeColor="text1"/>
          <w:kern w:val="24"/>
          <w:lang w:val="en-GB"/>
        </w:rPr>
        <w:t xml:space="preserve">: </w:t>
      </w:r>
      <w:r w:rsidR="00171894">
        <w:rPr>
          <w:rFonts w:eastAsia="Calibri"/>
          <w:b/>
          <w:bCs/>
          <w:color w:val="000000" w:themeColor="text1"/>
          <w:kern w:val="24"/>
          <w:lang w:val="en-GB"/>
        </w:rPr>
        <w:t xml:space="preserve">For NTN, supports capability </w:t>
      </w:r>
      <w:proofErr w:type="spellStart"/>
      <w:r w:rsidR="00171894">
        <w:rPr>
          <w:rFonts w:eastAsia="Calibri"/>
          <w:b/>
          <w:bCs/>
          <w:color w:val="000000" w:themeColor="text1"/>
          <w:kern w:val="24"/>
          <w:lang w:val="en-GB"/>
        </w:rPr>
        <w:t>signaling</w:t>
      </w:r>
      <w:proofErr w:type="spellEnd"/>
      <w:r w:rsidR="00171894">
        <w:rPr>
          <w:rFonts w:eastAsia="Calibri"/>
          <w:b/>
          <w:bCs/>
          <w:color w:val="000000" w:themeColor="text1"/>
          <w:kern w:val="24"/>
          <w:lang w:val="en-GB"/>
        </w:rPr>
        <w:t xml:space="preserve"> of transmit antenna switching </w:t>
      </w:r>
      <w:r w:rsidR="000D7BBC">
        <w:rPr>
          <w:rFonts w:eastAsia="Calibri"/>
          <w:b/>
          <w:bCs/>
          <w:color w:val="000000" w:themeColor="text1"/>
          <w:kern w:val="24"/>
          <w:lang w:val="en-GB"/>
        </w:rPr>
        <w:t>f</w:t>
      </w:r>
      <w:r w:rsidRPr="0020278B">
        <w:rPr>
          <w:rFonts w:eastAsia="Calibri"/>
          <w:b/>
          <w:bCs/>
          <w:color w:val="000000" w:themeColor="text1"/>
          <w:kern w:val="24"/>
          <w:lang w:val="en-GB"/>
        </w:rPr>
        <w:t xml:space="preserve">or </w:t>
      </w:r>
      <w:r w:rsidR="009100CF">
        <w:rPr>
          <w:rFonts w:eastAsia="Calibri"/>
          <w:b/>
          <w:bCs/>
          <w:color w:val="000000" w:themeColor="text1"/>
          <w:kern w:val="24"/>
          <w:lang w:val="en-GB"/>
        </w:rPr>
        <w:t xml:space="preserve">UEs that </w:t>
      </w:r>
      <w:r w:rsidR="00645D76">
        <w:rPr>
          <w:rFonts w:eastAsia="Calibri"/>
          <w:b/>
          <w:bCs/>
          <w:color w:val="000000" w:themeColor="text1"/>
          <w:kern w:val="24"/>
          <w:lang w:val="en-GB"/>
        </w:rPr>
        <w:t xml:space="preserve">indicates </w:t>
      </w:r>
      <w:r w:rsidR="00B9554B">
        <w:rPr>
          <w:rFonts w:eastAsia="Calibri"/>
          <w:b/>
          <w:bCs/>
          <w:color w:val="000000" w:themeColor="text1"/>
          <w:kern w:val="24"/>
          <w:lang w:val="en-GB"/>
        </w:rPr>
        <w:t xml:space="preserve">capable of </w:t>
      </w:r>
      <w:r w:rsidR="00645D76">
        <w:rPr>
          <w:rFonts w:eastAsia="Calibri"/>
          <w:b/>
          <w:bCs/>
          <w:color w:val="000000" w:themeColor="text1"/>
          <w:kern w:val="24"/>
          <w:lang w:val="en-GB"/>
        </w:rPr>
        <w:t xml:space="preserve">more than 1 slots for the maximal </w:t>
      </w:r>
      <w:r w:rsidR="00B9554B">
        <w:rPr>
          <w:rFonts w:eastAsia="Calibri"/>
          <w:b/>
          <w:bCs/>
          <w:color w:val="000000" w:themeColor="text1"/>
          <w:kern w:val="24"/>
          <w:lang w:val="en-GB"/>
        </w:rPr>
        <w:t>TDW size</w:t>
      </w:r>
      <w:r w:rsidR="000D7BBC">
        <w:rPr>
          <w:rFonts w:eastAsia="Calibri"/>
          <w:b/>
          <w:bCs/>
          <w:color w:val="000000" w:themeColor="text1"/>
          <w:kern w:val="24"/>
          <w:lang w:val="en-GB"/>
        </w:rPr>
        <w:t>.</w:t>
      </w:r>
    </w:p>
    <w:p w14:paraId="0ACF288E" w14:textId="265B486E" w:rsidR="00350133" w:rsidRDefault="009267FA" w:rsidP="004D6158">
      <w:pPr>
        <w:autoSpaceDE/>
        <w:autoSpaceDN/>
        <w:adjustRightInd/>
        <w:spacing w:line="230" w:lineRule="auto"/>
        <w:textAlignment w:val="auto"/>
        <w:rPr>
          <w:rFonts w:eastAsia="Calibri"/>
          <w:color w:val="000000" w:themeColor="text1"/>
          <w:kern w:val="24"/>
          <w:lang w:val="en-GB"/>
        </w:rPr>
      </w:pPr>
      <w:r w:rsidRPr="009267FA">
        <w:rPr>
          <w:rFonts w:eastAsia="Calibri"/>
          <w:color w:val="000000" w:themeColor="text1"/>
          <w:kern w:val="24"/>
          <w:lang w:val="en-GB"/>
        </w:rPr>
        <w:t>For</w:t>
      </w:r>
      <w:r w:rsidR="00F11F09" w:rsidRPr="009267FA">
        <w:rPr>
          <w:rFonts w:eastAsia="Calibri"/>
          <w:color w:val="000000" w:themeColor="text1"/>
          <w:kern w:val="24"/>
          <w:lang w:val="en-GB"/>
        </w:rPr>
        <w:t xml:space="preserve"> UEs capable of transmit antenna switching, network </w:t>
      </w:r>
      <w:r w:rsidR="00B7152B" w:rsidRPr="009267FA">
        <w:rPr>
          <w:rFonts w:eastAsia="Calibri"/>
          <w:color w:val="000000" w:themeColor="text1"/>
          <w:kern w:val="24"/>
          <w:lang w:val="en-GB"/>
        </w:rPr>
        <w:t xml:space="preserve">should be given the flexibility to disable or </w:t>
      </w:r>
      <w:proofErr w:type="gramStart"/>
      <w:r w:rsidR="00B7152B" w:rsidRPr="009267FA">
        <w:rPr>
          <w:rFonts w:eastAsia="Calibri"/>
          <w:color w:val="000000" w:themeColor="text1"/>
          <w:kern w:val="24"/>
          <w:lang w:val="en-GB"/>
        </w:rPr>
        <w:t xml:space="preserve">enable </w:t>
      </w:r>
      <w:r w:rsidR="0095423B" w:rsidRPr="009267FA">
        <w:rPr>
          <w:rFonts w:eastAsia="Calibri"/>
          <w:color w:val="000000" w:themeColor="text1"/>
          <w:kern w:val="24"/>
          <w:lang w:val="en-GB"/>
        </w:rPr>
        <w:t xml:space="preserve"> </w:t>
      </w:r>
      <w:r w:rsidR="00A24C53" w:rsidRPr="009267FA">
        <w:rPr>
          <w:rFonts w:eastAsia="Calibri"/>
          <w:color w:val="000000" w:themeColor="text1"/>
          <w:kern w:val="24"/>
          <w:lang w:val="en-GB"/>
        </w:rPr>
        <w:t>transmit</w:t>
      </w:r>
      <w:proofErr w:type="gramEnd"/>
      <w:r w:rsidR="0095423B" w:rsidRPr="009267FA">
        <w:rPr>
          <w:rFonts w:eastAsia="Calibri"/>
          <w:color w:val="000000" w:themeColor="text1"/>
          <w:kern w:val="24"/>
          <w:lang w:val="en-GB"/>
        </w:rPr>
        <w:t xml:space="preserve"> antenna switching</w:t>
      </w:r>
      <w:r w:rsidR="00810591">
        <w:rPr>
          <w:rFonts w:eastAsia="Calibri"/>
          <w:color w:val="000000" w:themeColor="text1"/>
          <w:kern w:val="24"/>
          <w:lang w:val="en-GB"/>
        </w:rPr>
        <w:t xml:space="preserve"> f</w:t>
      </w:r>
      <w:r w:rsidR="00AA7187" w:rsidRPr="009267FA">
        <w:rPr>
          <w:rFonts w:eastAsia="Calibri"/>
          <w:color w:val="000000" w:themeColor="text1"/>
          <w:kern w:val="24"/>
          <w:lang w:val="en-GB"/>
        </w:rPr>
        <w:t xml:space="preserve">or the </w:t>
      </w:r>
      <w:r w:rsidR="003B652B" w:rsidRPr="009267FA">
        <w:rPr>
          <w:rFonts w:eastAsia="Calibri"/>
          <w:color w:val="000000" w:themeColor="text1"/>
          <w:kern w:val="24"/>
          <w:lang w:val="en-GB"/>
        </w:rPr>
        <w:t>same reasons</w:t>
      </w:r>
      <w:r w:rsidR="00810591">
        <w:rPr>
          <w:rFonts w:eastAsia="Calibri"/>
          <w:color w:val="000000" w:themeColor="text1"/>
          <w:kern w:val="24"/>
          <w:lang w:val="en-GB"/>
        </w:rPr>
        <w:t xml:space="preserve"> of </w:t>
      </w:r>
      <w:r w:rsidR="003B652B" w:rsidRPr="009267FA">
        <w:rPr>
          <w:rFonts w:eastAsia="Calibri"/>
          <w:color w:val="000000" w:themeColor="text1"/>
          <w:kern w:val="24"/>
          <w:lang w:val="en-GB"/>
        </w:rPr>
        <w:t xml:space="preserve"> network </w:t>
      </w:r>
      <w:r w:rsidR="00810591">
        <w:rPr>
          <w:rFonts w:eastAsia="Calibri"/>
          <w:color w:val="000000" w:themeColor="text1"/>
          <w:kern w:val="24"/>
          <w:lang w:val="en-GB"/>
        </w:rPr>
        <w:t>configuration of  the</w:t>
      </w:r>
      <w:r w:rsidR="003B652B" w:rsidRPr="009267FA">
        <w:rPr>
          <w:rFonts w:eastAsia="Calibri"/>
          <w:color w:val="000000" w:themeColor="text1"/>
          <w:kern w:val="24"/>
          <w:lang w:val="en-GB"/>
        </w:rPr>
        <w:t xml:space="preserve"> nominal TDW</w:t>
      </w:r>
      <w:r w:rsidR="00865C65">
        <w:rPr>
          <w:rFonts w:eastAsia="Calibri"/>
          <w:color w:val="000000" w:themeColor="text1"/>
          <w:kern w:val="24"/>
          <w:lang w:val="en-GB"/>
        </w:rPr>
        <w:t xml:space="preserve"> length</w:t>
      </w:r>
      <w:r w:rsidR="003B652B" w:rsidRPr="009267FA">
        <w:rPr>
          <w:rFonts w:eastAsia="Calibri"/>
          <w:color w:val="000000" w:themeColor="text1"/>
          <w:kern w:val="24"/>
          <w:lang w:val="en-GB"/>
        </w:rPr>
        <w:t xml:space="preserve">. </w:t>
      </w:r>
      <w:r w:rsidR="00B7152B" w:rsidRPr="009267FA">
        <w:rPr>
          <w:rFonts w:eastAsia="Calibri"/>
          <w:color w:val="000000" w:themeColor="text1"/>
          <w:kern w:val="24"/>
          <w:lang w:val="en-GB"/>
        </w:rPr>
        <w:t xml:space="preserve"> </w:t>
      </w:r>
    </w:p>
    <w:p w14:paraId="72BAE669" w14:textId="6D850177" w:rsidR="00350133" w:rsidRPr="002D7118" w:rsidRDefault="00350133" w:rsidP="004D6158">
      <w:pPr>
        <w:autoSpaceDE/>
        <w:autoSpaceDN/>
        <w:adjustRightInd/>
        <w:spacing w:line="230" w:lineRule="auto"/>
        <w:textAlignment w:val="auto"/>
        <w:rPr>
          <w:rFonts w:eastAsia="Calibri"/>
          <w:b/>
          <w:bCs/>
          <w:color w:val="000000" w:themeColor="text1"/>
          <w:kern w:val="24"/>
          <w:lang w:val="en-GB"/>
        </w:rPr>
      </w:pPr>
      <w:r w:rsidRPr="002D7118">
        <w:rPr>
          <w:rFonts w:eastAsia="Calibri"/>
          <w:b/>
          <w:bCs/>
          <w:color w:val="000000" w:themeColor="text1"/>
          <w:kern w:val="24"/>
          <w:lang w:val="en-GB"/>
        </w:rPr>
        <w:t xml:space="preserve">Proposal 4: </w:t>
      </w:r>
      <w:r w:rsidR="00640D8A" w:rsidRPr="002D7118">
        <w:rPr>
          <w:rFonts w:eastAsia="Calibri"/>
          <w:b/>
          <w:bCs/>
          <w:color w:val="000000" w:themeColor="text1"/>
          <w:kern w:val="24"/>
          <w:lang w:val="en-GB"/>
        </w:rPr>
        <w:t xml:space="preserve">Support network </w:t>
      </w:r>
      <w:r w:rsidR="00A037BF" w:rsidRPr="002D7118">
        <w:rPr>
          <w:rFonts w:eastAsia="Calibri"/>
          <w:b/>
          <w:bCs/>
          <w:color w:val="000000" w:themeColor="text1"/>
          <w:kern w:val="24"/>
          <w:lang w:val="en-GB"/>
        </w:rPr>
        <w:t xml:space="preserve">RRC </w:t>
      </w:r>
      <w:r w:rsidR="00640D8A" w:rsidRPr="002D7118">
        <w:rPr>
          <w:rFonts w:eastAsia="Calibri"/>
          <w:b/>
          <w:bCs/>
          <w:color w:val="000000" w:themeColor="text1"/>
          <w:kern w:val="24"/>
          <w:lang w:val="en-GB"/>
        </w:rPr>
        <w:t xml:space="preserve">configuration to </w:t>
      </w:r>
      <w:r w:rsidR="00C475C4" w:rsidRPr="002D7118">
        <w:rPr>
          <w:rFonts w:eastAsia="Calibri"/>
          <w:b/>
          <w:bCs/>
          <w:color w:val="000000" w:themeColor="text1"/>
          <w:kern w:val="24"/>
          <w:lang w:val="en-GB"/>
        </w:rPr>
        <w:t>disable a UE</w:t>
      </w:r>
      <w:r w:rsidR="00A037BF" w:rsidRPr="002D7118">
        <w:rPr>
          <w:rFonts w:eastAsia="Calibri"/>
          <w:b/>
          <w:bCs/>
          <w:color w:val="000000" w:themeColor="text1"/>
          <w:kern w:val="24"/>
          <w:lang w:val="en-GB"/>
        </w:rPr>
        <w:t>’s</w:t>
      </w:r>
      <w:r w:rsidR="00C475C4" w:rsidRPr="002D7118">
        <w:rPr>
          <w:rFonts w:eastAsia="Calibri"/>
          <w:b/>
          <w:bCs/>
          <w:color w:val="000000" w:themeColor="text1"/>
          <w:kern w:val="24"/>
          <w:lang w:val="en-GB"/>
        </w:rPr>
        <w:t xml:space="preserve"> transmit antenna switching</w:t>
      </w:r>
      <w:r w:rsidR="00A935BF">
        <w:rPr>
          <w:rFonts w:eastAsia="Calibri"/>
          <w:b/>
          <w:bCs/>
          <w:color w:val="000000" w:themeColor="text1"/>
          <w:kern w:val="24"/>
          <w:lang w:val="en-GB"/>
        </w:rPr>
        <w:t xml:space="preserve"> that affects TDW sizes</w:t>
      </w:r>
      <w:r w:rsidR="002D7118" w:rsidRPr="002D7118">
        <w:rPr>
          <w:rFonts w:eastAsia="Calibri"/>
          <w:b/>
          <w:bCs/>
          <w:color w:val="000000" w:themeColor="text1"/>
          <w:kern w:val="24"/>
          <w:lang w:val="en-GB"/>
        </w:rPr>
        <w:t>.</w:t>
      </w:r>
      <w:r w:rsidR="00805CF1" w:rsidRPr="002D7118">
        <w:rPr>
          <w:rFonts w:eastAsia="Calibri"/>
          <w:b/>
          <w:bCs/>
          <w:color w:val="000000" w:themeColor="text1"/>
          <w:kern w:val="24"/>
          <w:lang w:val="en-GB"/>
        </w:rPr>
        <w:t xml:space="preserve"> </w:t>
      </w:r>
    </w:p>
    <w:p w14:paraId="5EFEB084" w14:textId="6FC4A6B2" w:rsidR="00F11F09" w:rsidRDefault="00076A56" w:rsidP="004D6158">
      <w:pPr>
        <w:autoSpaceDE/>
        <w:autoSpaceDN/>
        <w:adjustRightInd/>
        <w:spacing w:line="230" w:lineRule="auto"/>
        <w:textAlignment w:val="auto"/>
        <w:rPr>
          <w:rFonts w:eastAsia="Calibri"/>
          <w:color w:val="000000" w:themeColor="text1"/>
          <w:kern w:val="24"/>
          <w:lang w:val="en-GB"/>
        </w:rPr>
      </w:pPr>
      <w:r>
        <w:rPr>
          <w:rFonts w:eastAsia="Calibri"/>
          <w:color w:val="000000" w:themeColor="text1"/>
          <w:kern w:val="24"/>
          <w:lang w:val="en-GB"/>
        </w:rPr>
        <w:t xml:space="preserve">For UEs </w:t>
      </w:r>
      <w:r w:rsidR="007714F7">
        <w:rPr>
          <w:rFonts w:eastAsia="Calibri"/>
          <w:color w:val="000000" w:themeColor="text1"/>
          <w:kern w:val="24"/>
          <w:lang w:val="en-GB"/>
        </w:rPr>
        <w:t>with</w:t>
      </w:r>
      <w:r>
        <w:rPr>
          <w:rFonts w:eastAsia="Calibri"/>
          <w:color w:val="000000" w:themeColor="text1"/>
          <w:kern w:val="24"/>
          <w:lang w:val="en-GB"/>
        </w:rPr>
        <w:t xml:space="preserve"> multiple antenna ports</w:t>
      </w:r>
      <w:r w:rsidR="007714F7">
        <w:rPr>
          <w:rFonts w:eastAsia="Calibri"/>
          <w:color w:val="000000" w:themeColor="text1"/>
          <w:kern w:val="24"/>
          <w:lang w:val="en-GB"/>
        </w:rPr>
        <w:t>, more</w:t>
      </w:r>
      <w:r>
        <w:rPr>
          <w:rFonts w:eastAsia="Calibri"/>
          <w:color w:val="000000" w:themeColor="text1"/>
          <w:kern w:val="24"/>
          <w:lang w:val="en-GB"/>
        </w:rPr>
        <w:t xml:space="preserve"> transmit antenna </w:t>
      </w:r>
      <w:proofErr w:type="spellStart"/>
      <w:r>
        <w:rPr>
          <w:rFonts w:eastAsia="Calibri"/>
          <w:color w:val="000000" w:themeColor="text1"/>
          <w:kern w:val="24"/>
          <w:lang w:val="en-GB"/>
        </w:rPr>
        <w:t>switching</w:t>
      </w:r>
      <w:r w:rsidR="007A05C8">
        <w:rPr>
          <w:rFonts w:eastAsia="Calibri"/>
          <w:color w:val="000000" w:themeColor="text1"/>
          <w:kern w:val="24"/>
          <w:lang w:val="en-GB"/>
        </w:rPr>
        <w:t>s</w:t>
      </w:r>
      <w:proofErr w:type="spellEnd"/>
      <w:r w:rsidR="007A05C8">
        <w:rPr>
          <w:rFonts w:eastAsia="Calibri"/>
          <w:color w:val="000000" w:themeColor="text1"/>
          <w:kern w:val="24"/>
          <w:lang w:val="en-GB"/>
        </w:rPr>
        <w:t xml:space="preserve"> </w:t>
      </w:r>
      <w:r w:rsidR="007714F7">
        <w:rPr>
          <w:rFonts w:eastAsia="Calibri"/>
          <w:color w:val="000000" w:themeColor="text1"/>
          <w:kern w:val="24"/>
          <w:lang w:val="en-GB"/>
        </w:rPr>
        <w:t xml:space="preserve">during a PUSCH could bring more diversity gain. </w:t>
      </w:r>
      <w:r w:rsidR="00146EAD">
        <w:rPr>
          <w:rFonts w:eastAsia="Calibri"/>
          <w:color w:val="000000" w:themeColor="text1"/>
          <w:kern w:val="24"/>
          <w:lang w:val="en-GB"/>
        </w:rPr>
        <w:t xml:space="preserve">Doing so, the actual TDW size will be reduced and hence </w:t>
      </w:r>
      <w:r w:rsidR="009F6C04">
        <w:rPr>
          <w:rFonts w:eastAsia="Calibri"/>
          <w:color w:val="000000" w:themeColor="text1"/>
          <w:kern w:val="24"/>
          <w:lang w:val="en-GB"/>
        </w:rPr>
        <w:t xml:space="preserve">may degrade the </w:t>
      </w:r>
      <w:r w:rsidR="006B2584">
        <w:rPr>
          <w:rFonts w:eastAsia="Calibri"/>
          <w:color w:val="000000" w:themeColor="text1"/>
          <w:kern w:val="24"/>
          <w:lang w:val="en-GB"/>
        </w:rPr>
        <w:t xml:space="preserve">overall </w:t>
      </w:r>
      <w:r w:rsidR="009F6C04">
        <w:rPr>
          <w:rFonts w:eastAsia="Calibri"/>
          <w:color w:val="000000" w:themeColor="text1"/>
          <w:kern w:val="24"/>
          <w:lang w:val="en-GB"/>
        </w:rPr>
        <w:t xml:space="preserve">performance. A good </w:t>
      </w:r>
      <w:proofErr w:type="spellStart"/>
      <w:r w:rsidR="009F6C04">
        <w:rPr>
          <w:rFonts w:eastAsia="Calibri"/>
          <w:color w:val="000000" w:themeColor="text1"/>
          <w:kern w:val="24"/>
          <w:lang w:val="en-GB"/>
        </w:rPr>
        <w:t>tradeoff</w:t>
      </w:r>
      <w:proofErr w:type="spellEnd"/>
      <w:r w:rsidR="009F6C04">
        <w:rPr>
          <w:rFonts w:eastAsia="Calibri"/>
          <w:color w:val="000000" w:themeColor="text1"/>
          <w:kern w:val="24"/>
          <w:lang w:val="en-GB"/>
        </w:rPr>
        <w:t xml:space="preserve"> is to ensure</w:t>
      </w:r>
      <w:r w:rsidR="00FE60C6">
        <w:rPr>
          <w:rFonts w:eastAsia="Calibri"/>
          <w:color w:val="000000" w:themeColor="text1"/>
          <w:kern w:val="24"/>
          <w:lang w:val="en-GB"/>
        </w:rPr>
        <w:t xml:space="preserve"> that</w:t>
      </w:r>
      <w:r w:rsidR="00E52FA8">
        <w:rPr>
          <w:rFonts w:eastAsia="Calibri"/>
          <w:color w:val="000000" w:themeColor="text1"/>
          <w:kern w:val="24"/>
          <w:lang w:val="en-GB"/>
        </w:rPr>
        <w:t xml:space="preserve"> there is one transmit antenna switching</w:t>
      </w:r>
      <w:r w:rsidR="00FE60C6">
        <w:rPr>
          <w:rFonts w:eastAsia="Calibri"/>
          <w:color w:val="000000" w:themeColor="text1"/>
          <w:kern w:val="24"/>
          <w:lang w:val="en-GB"/>
        </w:rPr>
        <w:t xml:space="preserve"> </w:t>
      </w:r>
      <w:r w:rsidR="007A05C8">
        <w:rPr>
          <w:rFonts w:eastAsia="Calibri"/>
          <w:color w:val="000000" w:themeColor="text1"/>
          <w:kern w:val="24"/>
          <w:lang w:val="en-GB"/>
        </w:rPr>
        <w:t xml:space="preserve">during a PUSCH. If there are more than one TDWs, UE are </w:t>
      </w:r>
      <w:r w:rsidR="009E4F28">
        <w:rPr>
          <w:rFonts w:eastAsia="Calibri"/>
          <w:color w:val="000000" w:themeColor="text1"/>
          <w:kern w:val="24"/>
          <w:lang w:val="en-GB"/>
        </w:rPr>
        <w:t xml:space="preserve">free to perform transmit antenna switching between two TDWs. Hence, </w:t>
      </w:r>
      <w:r w:rsidR="0037338C">
        <w:rPr>
          <w:rFonts w:eastAsia="Calibri"/>
          <w:color w:val="000000" w:themeColor="text1"/>
          <w:kern w:val="24"/>
          <w:lang w:val="en-GB"/>
        </w:rPr>
        <w:t>we only need to modify the procedure for TDW determination when the</w:t>
      </w:r>
      <w:r w:rsidR="0000545F">
        <w:rPr>
          <w:rFonts w:eastAsia="Calibri"/>
          <w:color w:val="000000" w:themeColor="text1"/>
          <w:kern w:val="24"/>
          <w:lang w:val="en-GB"/>
        </w:rPr>
        <w:t xml:space="preserve">re is only </w:t>
      </w:r>
      <w:proofErr w:type="gramStart"/>
      <w:r w:rsidR="0000545F">
        <w:rPr>
          <w:rFonts w:eastAsia="Calibri"/>
          <w:color w:val="000000" w:themeColor="text1"/>
          <w:kern w:val="24"/>
          <w:lang w:val="en-GB"/>
        </w:rPr>
        <w:t xml:space="preserve">one </w:t>
      </w:r>
      <w:r w:rsidR="0037338C">
        <w:rPr>
          <w:rFonts w:eastAsia="Calibri"/>
          <w:color w:val="000000" w:themeColor="text1"/>
          <w:kern w:val="24"/>
          <w:lang w:val="en-GB"/>
        </w:rPr>
        <w:t xml:space="preserve"> </w:t>
      </w:r>
      <w:r w:rsidR="0000545F">
        <w:rPr>
          <w:rFonts w:eastAsia="Calibri"/>
          <w:color w:val="000000" w:themeColor="text1"/>
          <w:kern w:val="24"/>
          <w:lang w:val="en-GB"/>
        </w:rPr>
        <w:t>nominal</w:t>
      </w:r>
      <w:proofErr w:type="gramEnd"/>
      <w:r w:rsidR="0037338C">
        <w:rPr>
          <w:rFonts w:eastAsia="Calibri"/>
          <w:color w:val="000000" w:themeColor="text1"/>
          <w:kern w:val="24"/>
          <w:lang w:val="en-GB"/>
        </w:rPr>
        <w:t xml:space="preserve"> TDW without considering transmit antenna switching. </w:t>
      </w:r>
      <w:r w:rsidR="009F6C04">
        <w:rPr>
          <w:rFonts w:eastAsia="Calibri"/>
          <w:color w:val="000000" w:themeColor="text1"/>
          <w:kern w:val="24"/>
          <w:lang w:val="en-GB"/>
        </w:rPr>
        <w:t xml:space="preserve"> </w:t>
      </w:r>
      <w:r w:rsidR="00C53326">
        <w:rPr>
          <w:rFonts w:eastAsia="Calibri"/>
          <w:color w:val="000000" w:themeColor="text1"/>
          <w:kern w:val="24"/>
          <w:lang w:val="en-GB"/>
        </w:rPr>
        <w:t>When the nominal TDW duration is configured</w:t>
      </w:r>
      <w:r w:rsidR="00D5714B">
        <w:rPr>
          <w:rFonts w:eastAsia="Calibri"/>
          <w:color w:val="000000" w:themeColor="text1"/>
          <w:kern w:val="24"/>
          <w:lang w:val="en-GB"/>
        </w:rPr>
        <w:t>, UE may consider the antenna switching is disabled.</w:t>
      </w:r>
      <w:r w:rsidR="009F6C04">
        <w:rPr>
          <w:rFonts w:eastAsia="Calibri"/>
          <w:color w:val="000000" w:themeColor="text1"/>
          <w:kern w:val="24"/>
          <w:lang w:val="en-GB"/>
        </w:rPr>
        <w:t xml:space="preserve"> </w:t>
      </w:r>
      <w:r>
        <w:rPr>
          <w:rFonts w:eastAsia="Calibri"/>
          <w:color w:val="000000" w:themeColor="text1"/>
          <w:kern w:val="24"/>
          <w:lang w:val="en-GB"/>
        </w:rPr>
        <w:t xml:space="preserve"> </w:t>
      </w:r>
      <w:r w:rsidR="00895880">
        <w:rPr>
          <w:rFonts w:eastAsia="Calibri"/>
          <w:color w:val="000000" w:themeColor="text1"/>
          <w:kern w:val="24"/>
          <w:lang w:val="en-GB"/>
        </w:rPr>
        <w:t xml:space="preserve">The </w:t>
      </w:r>
      <w:r w:rsidR="00D5393B">
        <w:rPr>
          <w:rFonts w:eastAsia="Calibri"/>
          <w:color w:val="000000" w:themeColor="text1"/>
          <w:kern w:val="24"/>
          <w:lang w:val="en-GB"/>
        </w:rPr>
        <w:t>new procedure considering transmit antenna switching is depicted as in the following figure.</w:t>
      </w:r>
    </w:p>
    <w:p w14:paraId="48B99639" w14:textId="01BF7061" w:rsidR="00D5393B" w:rsidRDefault="00545735" w:rsidP="00D5393B">
      <w:pPr>
        <w:keepNext/>
        <w:autoSpaceDE/>
        <w:autoSpaceDN/>
        <w:adjustRightInd/>
        <w:spacing w:line="230" w:lineRule="auto"/>
        <w:ind w:left="864"/>
        <w:jc w:val="center"/>
        <w:textAlignment w:val="auto"/>
      </w:pPr>
      <w:r>
        <w:object w:dxaOrig="7410" w:dyaOrig="7156" w14:anchorId="51A4B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331.3pt" o:ole="">
            <v:imagedata r:id="rId11" o:title=""/>
          </v:shape>
          <o:OLEObject Type="Embed" ProgID="Visio.Drawing.15" ShapeID="_x0000_i1025" DrawAspect="Content" ObjectID="_1753263990" r:id="rId12"/>
        </w:object>
      </w:r>
    </w:p>
    <w:p w14:paraId="644846C2" w14:textId="3420182C" w:rsidR="00D5393B" w:rsidRDefault="00D5393B" w:rsidP="00D5393B">
      <w:pPr>
        <w:pStyle w:val="Caption"/>
        <w:jc w:val="center"/>
        <w:rPr>
          <w:rFonts w:eastAsia="Calibri"/>
          <w:color w:val="000000" w:themeColor="text1"/>
          <w:kern w:val="24"/>
          <w:lang w:val="en-GB"/>
        </w:rPr>
      </w:pPr>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r>
        <w:t xml:space="preserve"> Flow chart of TDW determination with transmit antenna switching.</w:t>
      </w:r>
    </w:p>
    <w:p w14:paraId="0743EA85" w14:textId="77777777" w:rsidR="00D5393B" w:rsidRDefault="00D5393B" w:rsidP="004D6158">
      <w:pPr>
        <w:autoSpaceDE/>
        <w:autoSpaceDN/>
        <w:adjustRightInd/>
        <w:spacing w:line="230" w:lineRule="auto"/>
        <w:textAlignment w:val="auto"/>
        <w:rPr>
          <w:rFonts w:eastAsia="Calibri"/>
          <w:color w:val="000000" w:themeColor="text1"/>
          <w:kern w:val="24"/>
          <w:lang w:val="en-GB"/>
        </w:rPr>
      </w:pPr>
    </w:p>
    <w:p w14:paraId="17B2E8A2" w14:textId="36AE473E" w:rsidR="00914721" w:rsidRPr="00577BA0" w:rsidRDefault="00785641" w:rsidP="00914721">
      <w:pPr>
        <w:snapToGrid w:val="0"/>
        <w:jc w:val="both"/>
        <w:rPr>
          <w:b/>
          <w:bCs/>
        </w:rPr>
      </w:pPr>
      <w:r w:rsidRPr="00577BA0">
        <w:rPr>
          <w:rFonts w:eastAsia="Calibri"/>
          <w:b/>
          <w:bCs/>
          <w:color w:val="000000" w:themeColor="text1"/>
          <w:kern w:val="24"/>
          <w:lang w:val="en-GB"/>
        </w:rPr>
        <w:t xml:space="preserve">Proposal 5: </w:t>
      </w:r>
      <w:r w:rsidR="00914721" w:rsidRPr="00577BA0">
        <w:rPr>
          <w:b/>
          <w:bCs/>
        </w:rPr>
        <w:t xml:space="preserve">For NTN-specific PUSCH DMRS bundling, </w:t>
      </w:r>
      <w:r w:rsidR="00D24CF3" w:rsidRPr="00577BA0">
        <w:rPr>
          <w:b/>
          <w:bCs/>
        </w:rPr>
        <w:t>legacy procedure for determining</w:t>
      </w:r>
      <w:r w:rsidR="00914721" w:rsidRPr="00577BA0">
        <w:rPr>
          <w:b/>
          <w:bCs/>
        </w:rPr>
        <w:t xml:space="preserve"> TDW</w:t>
      </w:r>
      <w:r w:rsidR="00D24CF3" w:rsidRPr="00577BA0">
        <w:rPr>
          <w:b/>
          <w:bCs/>
        </w:rPr>
        <w:t>s</w:t>
      </w:r>
      <w:r w:rsidR="0010176A" w:rsidRPr="00577BA0">
        <w:rPr>
          <w:b/>
          <w:bCs/>
        </w:rPr>
        <w:t xml:space="preserve"> as defined in Sec. 6.1.7 of 38.214</w:t>
      </w:r>
      <w:r w:rsidR="00D24CF3" w:rsidRPr="00577BA0">
        <w:rPr>
          <w:b/>
          <w:bCs/>
        </w:rPr>
        <w:t xml:space="preserve"> is reused </w:t>
      </w:r>
      <w:r w:rsidR="005D2411" w:rsidRPr="00577BA0">
        <w:rPr>
          <w:b/>
          <w:bCs/>
        </w:rPr>
        <w:t>except the following</w:t>
      </w:r>
      <w:r w:rsidR="000B3F0B" w:rsidRPr="00577BA0">
        <w:rPr>
          <w:b/>
          <w:bCs/>
        </w:rPr>
        <w:t>:</w:t>
      </w:r>
    </w:p>
    <w:p w14:paraId="0144999E" w14:textId="127317C5" w:rsidR="00273FBB" w:rsidRDefault="005D2411" w:rsidP="00545735">
      <w:pPr>
        <w:pStyle w:val="ListParagraph"/>
        <w:numPr>
          <w:ilvl w:val="0"/>
          <w:numId w:val="49"/>
        </w:numPr>
        <w:snapToGrid w:val="0"/>
        <w:jc w:val="both"/>
        <w:rPr>
          <w:rFonts w:ascii="Times New Roman" w:hAnsi="Times New Roman"/>
          <w:b/>
          <w:bCs/>
          <w:sz w:val="20"/>
          <w:szCs w:val="20"/>
        </w:rPr>
      </w:pPr>
      <w:r w:rsidRPr="00545735">
        <w:rPr>
          <w:rFonts w:ascii="Times New Roman" w:hAnsi="Times New Roman"/>
          <w:b/>
          <w:bCs/>
          <w:sz w:val="20"/>
          <w:szCs w:val="20"/>
        </w:rPr>
        <w:t>For UE</w:t>
      </w:r>
      <w:r w:rsidR="00523C2B" w:rsidRPr="00545735">
        <w:rPr>
          <w:rFonts w:ascii="Times New Roman" w:hAnsi="Times New Roman"/>
          <w:b/>
          <w:bCs/>
          <w:sz w:val="20"/>
          <w:szCs w:val="20"/>
        </w:rPr>
        <w:t xml:space="preserve"> </w:t>
      </w:r>
      <w:r w:rsidRPr="00545735">
        <w:rPr>
          <w:rFonts w:ascii="Times New Roman" w:hAnsi="Times New Roman"/>
          <w:b/>
          <w:bCs/>
          <w:sz w:val="20"/>
          <w:szCs w:val="20"/>
        </w:rPr>
        <w:t xml:space="preserve">capable of </w:t>
      </w:r>
      <w:r w:rsidR="00B96698" w:rsidRPr="00545735">
        <w:rPr>
          <w:rFonts w:ascii="Times New Roman" w:hAnsi="Times New Roman"/>
          <w:b/>
          <w:bCs/>
          <w:sz w:val="20"/>
          <w:szCs w:val="20"/>
        </w:rPr>
        <w:t>and enabled with transmit antenna switching</w:t>
      </w:r>
      <w:r w:rsidR="00523C2B" w:rsidRPr="00545735">
        <w:rPr>
          <w:rFonts w:ascii="Times New Roman" w:hAnsi="Times New Roman"/>
          <w:b/>
          <w:bCs/>
          <w:sz w:val="20"/>
          <w:szCs w:val="20"/>
        </w:rPr>
        <w:t xml:space="preserve">, if the </w:t>
      </w:r>
      <w:r w:rsidR="00E53746" w:rsidRPr="00545735">
        <w:rPr>
          <w:rFonts w:ascii="Times New Roman" w:hAnsi="Times New Roman"/>
          <w:b/>
          <w:bCs/>
          <w:sz w:val="20"/>
          <w:szCs w:val="20"/>
        </w:rPr>
        <w:t xml:space="preserve">number of </w:t>
      </w:r>
      <w:r w:rsidR="00C83260" w:rsidRPr="00545735">
        <w:rPr>
          <w:rFonts w:ascii="Times New Roman" w:hAnsi="Times New Roman"/>
          <w:b/>
          <w:bCs/>
          <w:sz w:val="20"/>
          <w:szCs w:val="20"/>
        </w:rPr>
        <w:t>nominal</w:t>
      </w:r>
      <w:r w:rsidR="00E53746" w:rsidRPr="00545735">
        <w:rPr>
          <w:rFonts w:ascii="Times New Roman" w:hAnsi="Times New Roman"/>
          <w:b/>
          <w:bCs/>
          <w:sz w:val="20"/>
          <w:szCs w:val="20"/>
        </w:rPr>
        <w:t xml:space="preserve"> TDWs determined </w:t>
      </w:r>
      <w:r w:rsidR="009E6D46" w:rsidRPr="00545735">
        <w:rPr>
          <w:rFonts w:ascii="Times New Roman" w:hAnsi="Times New Roman"/>
          <w:b/>
          <w:bCs/>
          <w:sz w:val="20"/>
          <w:szCs w:val="20"/>
        </w:rPr>
        <w:t xml:space="preserve">using </w:t>
      </w:r>
      <w:r w:rsidR="00E53746" w:rsidRPr="00545735">
        <w:rPr>
          <w:rFonts w:ascii="Times New Roman" w:hAnsi="Times New Roman"/>
          <w:b/>
          <w:bCs/>
          <w:sz w:val="20"/>
          <w:szCs w:val="20"/>
        </w:rPr>
        <w:t>the legacy procedure</w:t>
      </w:r>
      <w:r w:rsidR="00366EC6">
        <w:rPr>
          <w:rFonts w:ascii="Times New Roman" w:hAnsi="Times New Roman"/>
          <w:b/>
          <w:bCs/>
          <w:sz w:val="20"/>
          <w:szCs w:val="20"/>
        </w:rPr>
        <w:t xml:space="preserve"> is equal to 1</w:t>
      </w:r>
      <w:r w:rsidR="004263B1" w:rsidRPr="00545735">
        <w:rPr>
          <w:rFonts w:ascii="Times New Roman" w:hAnsi="Times New Roman"/>
          <w:b/>
          <w:bCs/>
          <w:sz w:val="20"/>
          <w:szCs w:val="20"/>
        </w:rPr>
        <w:t xml:space="preserve">, UE </w:t>
      </w:r>
      <w:r w:rsidR="001C63D6" w:rsidRPr="00545735">
        <w:rPr>
          <w:rFonts w:ascii="Times New Roman" w:hAnsi="Times New Roman"/>
          <w:b/>
          <w:bCs/>
          <w:sz w:val="20"/>
          <w:szCs w:val="20"/>
        </w:rPr>
        <w:t>calculate</w:t>
      </w:r>
      <w:r w:rsidR="000B3F0B" w:rsidRPr="00545735">
        <w:rPr>
          <w:rFonts w:ascii="Times New Roman" w:hAnsi="Times New Roman"/>
          <w:b/>
          <w:bCs/>
          <w:sz w:val="20"/>
          <w:szCs w:val="20"/>
        </w:rPr>
        <w:t>s</w:t>
      </w:r>
      <w:r w:rsidR="001C63D6" w:rsidRPr="00545735">
        <w:rPr>
          <w:rFonts w:ascii="Times New Roman" w:hAnsi="Times New Roman"/>
          <w:b/>
          <w:bCs/>
          <w:sz w:val="20"/>
          <w:szCs w:val="20"/>
        </w:rPr>
        <w:t xml:space="preserve"> a new nominal TDW </w:t>
      </w:r>
      <w:r w:rsidR="00693EC2" w:rsidRPr="00545735">
        <w:rPr>
          <w:rFonts w:ascii="Times New Roman" w:hAnsi="Times New Roman"/>
          <w:b/>
          <w:bCs/>
          <w:sz w:val="20"/>
          <w:szCs w:val="20"/>
        </w:rPr>
        <w:t xml:space="preserve">duration as </w:t>
      </w:r>
      <w:proofErr w:type="spellStart"/>
      <w:r w:rsidR="00504BE3" w:rsidRPr="00545735">
        <w:rPr>
          <w:rFonts w:ascii="Times New Roman" w:hAnsi="Times New Roman"/>
          <w:b/>
          <w:bCs/>
          <w:sz w:val="20"/>
          <w:szCs w:val="20"/>
        </w:rPr>
        <w:t>nominalTDWLength_new</w:t>
      </w:r>
      <w:proofErr w:type="spellEnd"/>
      <w:r w:rsidR="00504BE3" w:rsidRPr="00545735">
        <w:rPr>
          <w:rFonts w:ascii="Times New Roman" w:hAnsi="Times New Roman"/>
          <w:b/>
          <w:bCs/>
          <w:sz w:val="20"/>
          <w:szCs w:val="20"/>
        </w:rPr>
        <w:t xml:space="preserve"> = </w:t>
      </w:r>
      <w:r w:rsidR="00177769" w:rsidRPr="00545735">
        <w:rPr>
          <w:rFonts w:ascii="Times New Roman" w:hAnsi="Times New Roman"/>
          <w:b/>
          <w:bCs/>
          <w:sz w:val="20"/>
          <w:szCs w:val="20"/>
        </w:rPr>
        <w:t>ceil(</w:t>
      </w:r>
      <w:proofErr w:type="spellStart"/>
      <w:r w:rsidR="00942408" w:rsidRPr="00545735">
        <w:rPr>
          <w:rFonts w:ascii="Times New Roman" w:hAnsi="Times New Roman"/>
          <w:b/>
          <w:bCs/>
          <w:sz w:val="20"/>
          <w:szCs w:val="20"/>
        </w:rPr>
        <w:t>nominalTDWLength</w:t>
      </w:r>
      <w:proofErr w:type="spellEnd"/>
      <w:r w:rsidR="00942408" w:rsidRPr="00545735">
        <w:rPr>
          <w:rFonts w:ascii="Times New Roman" w:hAnsi="Times New Roman"/>
          <w:b/>
          <w:bCs/>
          <w:sz w:val="20"/>
          <w:szCs w:val="20"/>
        </w:rPr>
        <w:t>/2</w:t>
      </w:r>
      <w:proofErr w:type="gramStart"/>
      <w:r w:rsidR="00177769" w:rsidRPr="00545735">
        <w:rPr>
          <w:rFonts w:ascii="Times New Roman" w:hAnsi="Times New Roman"/>
          <w:b/>
          <w:bCs/>
          <w:sz w:val="20"/>
          <w:szCs w:val="20"/>
        </w:rPr>
        <w:t>)</w:t>
      </w:r>
      <w:r w:rsidR="00545735" w:rsidRPr="00545735">
        <w:rPr>
          <w:rFonts w:ascii="Times New Roman" w:hAnsi="Times New Roman"/>
          <w:b/>
          <w:bCs/>
          <w:sz w:val="20"/>
          <w:szCs w:val="20"/>
        </w:rPr>
        <w:t>,</w:t>
      </w:r>
      <w:r w:rsidR="00977CDC" w:rsidRPr="00545735">
        <w:rPr>
          <w:rFonts w:ascii="Times New Roman" w:hAnsi="Times New Roman"/>
          <w:b/>
          <w:bCs/>
          <w:sz w:val="20"/>
          <w:szCs w:val="20"/>
        </w:rPr>
        <w:t xml:space="preserve"> </w:t>
      </w:r>
      <w:r w:rsidR="00273FBB" w:rsidRPr="00545735">
        <w:rPr>
          <w:rFonts w:ascii="Times New Roman" w:hAnsi="Times New Roman"/>
          <w:b/>
          <w:bCs/>
          <w:sz w:val="20"/>
          <w:szCs w:val="20"/>
        </w:rPr>
        <w:t>and</w:t>
      </w:r>
      <w:proofErr w:type="gramEnd"/>
      <w:r w:rsidR="00273FBB" w:rsidRPr="00545735">
        <w:rPr>
          <w:rFonts w:ascii="Times New Roman" w:hAnsi="Times New Roman"/>
          <w:b/>
          <w:bCs/>
          <w:sz w:val="20"/>
          <w:szCs w:val="20"/>
        </w:rPr>
        <w:t xml:space="preserve"> determine</w:t>
      </w:r>
      <w:r w:rsidR="00977CDC" w:rsidRPr="00545735">
        <w:rPr>
          <w:rFonts w:ascii="Times New Roman" w:hAnsi="Times New Roman"/>
          <w:b/>
          <w:bCs/>
          <w:sz w:val="20"/>
          <w:szCs w:val="20"/>
        </w:rPr>
        <w:t>s</w:t>
      </w:r>
      <w:r w:rsidR="00273FBB" w:rsidRPr="00545735">
        <w:rPr>
          <w:rFonts w:ascii="Times New Roman" w:hAnsi="Times New Roman"/>
          <w:b/>
          <w:bCs/>
          <w:sz w:val="20"/>
          <w:szCs w:val="20"/>
        </w:rPr>
        <w:t xml:space="preserve"> the </w:t>
      </w:r>
      <w:r w:rsidR="00441EA9">
        <w:rPr>
          <w:rFonts w:ascii="Times New Roman" w:hAnsi="Times New Roman"/>
          <w:b/>
          <w:bCs/>
          <w:sz w:val="20"/>
          <w:szCs w:val="20"/>
        </w:rPr>
        <w:t xml:space="preserve">nominal and </w:t>
      </w:r>
      <w:r w:rsidR="00273FBB" w:rsidRPr="00545735">
        <w:rPr>
          <w:rFonts w:ascii="Times New Roman" w:hAnsi="Times New Roman"/>
          <w:b/>
          <w:bCs/>
          <w:sz w:val="20"/>
          <w:szCs w:val="20"/>
        </w:rPr>
        <w:t xml:space="preserve">actual TDWs using the </w:t>
      </w:r>
      <w:proofErr w:type="spellStart"/>
      <w:r w:rsidR="00273FBB" w:rsidRPr="00545735">
        <w:rPr>
          <w:rFonts w:ascii="Times New Roman" w:hAnsi="Times New Roman"/>
          <w:b/>
          <w:bCs/>
          <w:sz w:val="20"/>
          <w:szCs w:val="20"/>
        </w:rPr>
        <w:t>nominalTDWLength_new</w:t>
      </w:r>
      <w:proofErr w:type="spellEnd"/>
      <w:r w:rsidR="00273FBB" w:rsidRPr="00545735">
        <w:rPr>
          <w:rFonts w:ascii="Times New Roman" w:hAnsi="Times New Roman"/>
          <w:b/>
          <w:bCs/>
          <w:sz w:val="20"/>
          <w:szCs w:val="20"/>
        </w:rPr>
        <w:t xml:space="preserve"> </w:t>
      </w:r>
      <w:r w:rsidR="003301F1" w:rsidRPr="00545735">
        <w:rPr>
          <w:rFonts w:ascii="Times New Roman" w:hAnsi="Times New Roman"/>
          <w:b/>
          <w:bCs/>
          <w:sz w:val="20"/>
          <w:szCs w:val="20"/>
        </w:rPr>
        <w:t>following</w:t>
      </w:r>
      <w:r w:rsidR="00273FBB" w:rsidRPr="00545735">
        <w:rPr>
          <w:rFonts w:ascii="Times New Roman" w:hAnsi="Times New Roman"/>
          <w:b/>
          <w:bCs/>
          <w:sz w:val="20"/>
          <w:szCs w:val="20"/>
        </w:rPr>
        <w:t xml:space="preserve"> the </w:t>
      </w:r>
      <w:r w:rsidR="000B3F0B" w:rsidRPr="00545735">
        <w:rPr>
          <w:rFonts w:ascii="Times New Roman" w:hAnsi="Times New Roman"/>
          <w:b/>
          <w:bCs/>
          <w:sz w:val="20"/>
          <w:szCs w:val="20"/>
        </w:rPr>
        <w:t xml:space="preserve">legacy </w:t>
      </w:r>
      <w:r w:rsidR="00273FBB" w:rsidRPr="00545735">
        <w:rPr>
          <w:rFonts w:ascii="Times New Roman" w:hAnsi="Times New Roman"/>
          <w:b/>
          <w:bCs/>
          <w:sz w:val="20"/>
          <w:szCs w:val="20"/>
        </w:rPr>
        <w:t>procedure</w:t>
      </w:r>
      <w:r w:rsidR="009E6D46" w:rsidRPr="00545735">
        <w:rPr>
          <w:rFonts w:ascii="Times New Roman" w:hAnsi="Times New Roman"/>
          <w:b/>
          <w:bCs/>
          <w:sz w:val="20"/>
          <w:szCs w:val="20"/>
        </w:rPr>
        <w:t>.</w:t>
      </w:r>
    </w:p>
    <w:p w14:paraId="028FCD30" w14:textId="1C420934" w:rsidR="00441EA9" w:rsidRPr="00545735" w:rsidRDefault="00441EA9" w:rsidP="00BF0BF5">
      <w:pPr>
        <w:pStyle w:val="ListParagraph"/>
        <w:numPr>
          <w:ilvl w:val="1"/>
          <w:numId w:val="49"/>
        </w:numPr>
        <w:snapToGrid w:val="0"/>
        <w:jc w:val="both"/>
        <w:rPr>
          <w:rFonts w:ascii="Times New Roman" w:hAnsi="Times New Roman"/>
          <w:b/>
          <w:bCs/>
          <w:sz w:val="20"/>
          <w:szCs w:val="20"/>
        </w:rPr>
      </w:pPr>
      <w:r>
        <w:rPr>
          <w:rFonts w:ascii="Times New Roman" w:hAnsi="Times New Roman"/>
          <w:b/>
          <w:bCs/>
          <w:sz w:val="20"/>
          <w:szCs w:val="20"/>
        </w:rPr>
        <w:t xml:space="preserve">UE </w:t>
      </w:r>
      <w:r w:rsidR="00AF56D5">
        <w:rPr>
          <w:rFonts w:ascii="Times New Roman" w:hAnsi="Times New Roman"/>
          <w:b/>
          <w:bCs/>
          <w:sz w:val="20"/>
          <w:szCs w:val="20"/>
        </w:rPr>
        <w:t xml:space="preserve">considers </w:t>
      </w:r>
      <w:proofErr w:type="spellStart"/>
      <w:r w:rsidR="00AF56D5">
        <w:rPr>
          <w:rFonts w:ascii="Times New Roman" w:hAnsi="Times New Roman"/>
          <w:b/>
          <w:bCs/>
          <w:sz w:val="20"/>
          <w:szCs w:val="20"/>
        </w:rPr>
        <w:t>txAntSwitching</w:t>
      </w:r>
      <w:proofErr w:type="spellEnd"/>
      <w:r w:rsidR="00AF56D5">
        <w:rPr>
          <w:rFonts w:ascii="Times New Roman" w:hAnsi="Times New Roman"/>
          <w:b/>
          <w:bCs/>
          <w:sz w:val="20"/>
          <w:szCs w:val="20"/>
        </w:rPr>
        <w:t xml:space="preserve"> disabled whe</w:t>
      </w:r>
      <w:r w:rsidR="002A3CF9">
        <w:rPr>
          <w:rFonts w:ascii="Times New Roman" w:hAnsi="Times New Roman"/>
          <w:b/>
          <w:bCs/>
          <w:sz w:val="20"/>
          <w:szCs w:val="20"/>
        </w:rPr>
        <w:t>n</w:t>
      </w:r>
      <w:r>
        <w:rPr>
          <w:rFonts w:ascii="Times New Roman" w:hAnsi="Times New Roman"/>
          <w:b/>
          <w:bCs/>
          <w:sz w:val="20"/>
          <w:szCs w:val="20"/>
        </w:rPr>
        <w:t xml:space="preserve"> nominal TDW duration</w:t>
      </w:r>
      <w:r w:rsidR="002A3CF9">
        <w:rPr>
          <w:rFonts w:ascii="Times New Roman" w:hAnsi="Times New Roman"/>
          <w:b/>
          <w:bCs/>
          <w:sz w:val="20"/>
          <w:szCs w:val="20"/>
        </w:rPr>
        <w:t xml:space="preserve"> is configured.</w:t>
      </w:r>
    </w:p>
    <w:p w14:paraId="3B631FEE" w14:textId="45935B34" w:rsidR="00785641" w:rsidRDefault="00785641" w:rsidP="004D6158">
      <w:pPr>
        <w:autoSpaceDE/>
        <w:autoSpaceDN/>
        <w:adjustRightInd/>
        <w:spacing w:line="230" w:lineRule="auto"/>
        <w:textAlignment w:val="auto"/>
        <w:rPr>
          <w:rFonts w:eastAsia="Calibri"/>
          <w:color w:val="000000" w:themeColor="text1"/>
          <w:kern w:val="24"/>
          <w:lang w:val="en-GB"/>
        </w:rPr>
      </w:pPr>
    </w:p>
    <w:p w14:paraId="7E0C8CFC" w14:textId="77777777" w:rsidR="00785641" w:rsidRPr="009267FA" w:rsidRDefault="00785641" w:rsidP="004D6158">
      <w:pPr>
        <w:autoSpaceDE/>
        <w:autoSpaceDN/>
        <w:adjustRightInd/>
        <w:spacing w:line="230" w:lineRule="auto"/>
        <w:textAlignment w:val="auto"/>
        <w:rPr>
          <w:rFonts w:eastAsia="Calibri"/>
          <w:color w:val="000000" w:themeColor="text1"/>
          <w:kern w:val="24"/>
          <w:lang w:val="en-GB"/>
        </w:rPr>
      </w:pPr>
    </w:p>
    <w:bookmarkEnd w:id="5"/>
    <w:p w14:paraId="7D7E3419" w14:textId="78F96353" w:rsidR="00535B74" w:rsidRDefault="00535B74" w:rsidP="00762531">
      <w:pPr>
        <w:pStyle w:val="Heading1"/>
        <w:rPr>
          <w:color w:val="000000" w:themeColor="text1"/>
        </w:rPr>
      </w:pPr>
      <w:r w:rsidRPr="00535B74">
        <w:rPr>
          <w:color w:val="000000" w:themeColor="text1"/>
        </w:rPr>
        <w:t>Conclusions</w:t>
      </w:r>
    </w:p>
    <w:p w14:paraId="60AFE95E" w14:textId="5017AA24" w:rsidR="00251861" w:rsidRPr="00F21D7E" w:rsidRDefault="008F0EDD" w:rsidP="003F1EA4">
      <w:pPr>
        <w:rPr>
          <w:lang w:val="en-GB"/>
        </w:rPr>
      </w:pPr>
      <w:r>
        <w:rPr>
          <w:lang w:val="en-GB"/>
        </w:rPr>
        <w:t xml:space="preserve">In this contribution, we </w:t>
      </w:r>
      <w:r w:rsidR="00547C34">
        <w:rPr>
          <w:lang w:val="en-GB"/>
        </w:rPr>
        <w:t xml:space="preserve">have </w:t>
      </w:r>
      <w:r w:rsidR="00D96BAD">
        <w:rPr>
          <w:lang w:val="en-GB"/>
        </w:rPr>
        <w:t xml:space="preserve">discussed </w:t>
      </w:r>
      <w:r w:rsidR="009E6D46">
        <w:rPr>
          <w:lang w:val="en-GB"/>
        </w:rPr>
        <w:t xml:space="preserve">remaining </w:t>
      </w:r>
      <w:r w:rsidR="004A1CD0">
        <w:rPr>
          <w:lang w:val="en-GB"/>
        </w:rPr>
        <w:t xml:space="preserve">for coverage </w:t>
      </w:r>
      <w:proofErr w:type="spellStart"/>
      <w:r w:rsidR="004A1CD0">
        <w:rPr>
          <w:lang w:val="en-GB"/>
        </w:rPr>
        <w:t>enhacemnts</w:t>
      </w:r>
      <w:proofErr w:type="spellEnd"/>
      <w:r w:rsidR="00974B21">
        <w:rPr>
          <w:lang w:val="en-GB"/>
        </w:rPr>
        <w:t xml:space="preserve"> for NR NTN with the following proposals:</w:t>
      </w:r>
    </w:p>
    <w:p w14:paraId="39A8DD6E" w14:textId="77777777" w:rsidR="00E93FF2" w:rsidRPr="00712A81" w:rsidRDefault="00E93FF2" w:rsidP="00E93FF2">
      <w:pPr>
        <w:rPr>
          <w:b/>
          <w:bCs/>
        </w:rPr>
      </w:pPr>
      <w:r w:rsidRPr="00312770">
        <w:rPr>
          <w:b/>
          <w:bCs/>
        </w:rPr>
        <w:t xml:space="preserve">Proposal 1: </w:t>
      </w:r>
      <w:r w:rsidRPr="00712A81">
        <w:rPr>
          <w:b/>
          <w:bCs/>
        </w:rPr>
        <w:t xml:space="preserve">For the determination </w:t>
      </w:r>
      <w:proofErr w:type="gramStart"/>
      <w:r w:rsidRPr="00712A81">
        <w:rPr>
          <w:b/>
          <w:bCs/>
        </w:rPr>
        <w:t>of  whether</w:t>
      </w:r>
      <w:proofErr w:type="gramEnd"/>
      <w:r w:rsidRPr="00712A81">
        <w:rPr>
          <w:b/>
          <w:bCs/>
        </w:rPr>
        <w:t xml:space="preserve"> or not a UE capable of PUCCH repetition for Msg4 HARQ-ACK transmits repetition request or capability indication,  a new RSRP threshold can be optionally configured for PUCCH repetition for Msg4 HARQ-ACK.</w:t>
      </w:r>
    </w:p>
    <w:p w14:paraId="1E43A5FF" w14:textId="77777777" w:rsidR="00E93FF2" w:rsidRPr="00712A81" w:rsidRDefault="00E93FF2" w:rsidP="00E93FF2">
      <w:pPr>
        <w:pStyle w:val="ListParagraph"/>
        <w:numPr>
          <w:ilvl w:val="0"/>
          <w:numId w:val="49"/>
        </w:numPr>
        <w:rPr>
          <w:rFonts w:ascii="Times New Roman" w:hAnsi="Times New Roman"/>
          <w:b/>
          <w:bCs/>
          <w:sz w:val="20"/>
          <w:szCs w:val="20"/>
        </w:rPr>
      </w:pPr>
      <w:r w:rsidRPr="00712A81">
        <w:rPr>
          <w:rFonts w:ascii="Times New Roman" w:hAnsi="Times New Roman"/>
          <w:b/>
          <w:bCs/>
          <w:sz w:val="20"/>
          <w:szCs w:val="20"/>
        </w:rPr>
        <w:t xml:space="preserve">When not configured, a UE capable of PUCCH repetition for Msg4 HARQ-ACK always indicates its capability. </w:t>
      </w:r>
    </w:p>
    <w:p w14:paraId="77206D5B" w14:textId="77777777" w:rsidR="003C64E4" w:rsidRDefault="003C64E4" w:rsidP="003C64E4"/>
    <w:bookmarkEnd w:id="2"/>
    <w:bookmarkEnd w:id="3"/>
    <w:p w14:paraId="1459380C" w14:textId="2E6BF90A" w:rsidR="00AF14D9" w:rsidRPr="00E60E6D" w:rsidRDefault="00AF14D9" w:rsidP="00A2146D">
      <w:r w:rsidRPr="00B25158">
        <w:rPr>
          <w:b/>
          <w:bCs/>
          <w:lang w:val="en-GB"/>
        </w:rPr>
        <w:t xml:space="preserve">Proposal 2: For NR NTN DMRS bundling, UE </w:t>
      </w:r>
      <w:proofErr w:type="gramStart"/>
      <w:r w:rsidRPr="00B25158">
        <w:rPr>
          <w:b/>
          <w:bCs/>
          <w:lang w:val="en-GB"/>
        </w:rPr>
        <w:t>report</w:t>
      </w:r>
      <w:r w:rsidR="00524B12">
        <w:rPr>
          <w:b/>
          <w:bCs/>
          <w:lang w:val="en-GB"/>
        </w:rPr>
        <w:t>s</w:t>
      </w:r>
      <w:r w:rsidRPr="00B25158">
        <w:rPr>
          <w:b/>
          <w:bCs/>
          <w:lang w:val="en-GB"/>
        </w:rPr>
        <w:t xml:space="preserve"> </w:t>
      </w:r>
      <w:r>
        <w:rPr>
          <w:b/>
          <w:bCs/>
          <w:lang w:val="en-GB"/>
        </w:rPr>
        <w:t xml:space="preserve"> a</w:t>
      </w:r>
      <w:proofErr w:type="gramEnd"/>
      <w:r>
        <w:rPr>
          <w:b/>
          <w:bCs/>
          <w:lang w:val="en-GB"/>
        </w:rPr>
        <w:t xml:space="preserve"> </w:t>
      </w:r>
      <w:r w:rsidRPr="00B25158">
        <w:rPr>
          <w:b/>
          <w:bCs/>
          <w:lang w:val="en-GB"/>
        </w:rPr>
        <w:t xml:space="preserve">max TDW size for GEO/HAPs and </w:t>
      </w:r>
      <w:r>
        <w:rPr>
          <w:b/>
          <w:bCs/>
          <w:lang w:val="en-GB"/>
        </w:rPr>
        <w:t xml:space="preserve">a max TDW size </w:t>
      </w:r>
      <w:r w:rsidRPr="00B25158">
        <w:rPr>
          <w:b/>
          <w:bCs/>
          <w:lang w:val="en-GB"/>
        </w:rPr>
        <w:t xml:space="preserve"> for NGSO.</w:t>
      </w:r>
    </w:p>
    <w:p w14:paraId="3DC7E7F2" w14:textId="77777777" w:rsidR="00AF14D9" w:rsidRDefault="00AF14D9" w:rsidP="00AF14D9">
      <w:pPr>
        <w:rPr>
          <w:lang w:val="en-GB"/>
        </w:rPr>
      </w:pPr>
    </w:p>
    <w:p w14:paraId="7F277EBD" w14:textId="77777777" w:rsidR="00AF14D9" w:rsidRDefault="00AF14D9" w:rsidP="00AF14D9">
      <w:pPr>
        <w:autoSpaceDE/>
        <w:autoSpaceDN/>
        <w:adjustRightInd/>
        <w:spacing w:line="230" w:lineRule="auto"/>
        <w:textAlignment w:val="auto"/>
        <w:rPr>
          <w:rFonts w:eastAsia="Calibri"/>
          <w:b/>
          <w:bCs/>
          <w:color w:val="000000" w:themeColor="text1"/>
          <w:kern w:val="24"/>
          <w:lang w:val="en-GB"/>
        </w:rPr>
      </w:pPr>
      <w:r w:rsidRPr="0020278B">
        <w:rPr>
          <w:rFonts w:eastAsia="Calibri"/>
          <w:b/>
          <w:bCs/>
          <w:color w:val="000000" w:themeColor="text1"/>
          <w:kern w:val="24"/>
          <w:lang w:val="en-GB"/>
        </w:rPr>
        <w:t xml:space="preserve">Proposal </w:t>
      </w:r>
      <w:r>
        <w:rPr>
          <w:rFonts w:eastAsia="Calibri"/>
          <w:b/>
          <w:bCs/>
          <w:color w:val="000000" w:themeColor="text1"/>
          <w:kern w:val="24"/>
          <w:lang w:val="en-GB"/>
        </w:rPr>
        <w:t>3</w:t>
      </w:r>
      <w:r w:rsidRPr="0020278B">
        <w:rPr>
          <w:rFonts w:eastAsia="Calibri"/>
          <w:b/>
          <w:bCs/>
          <w:color w:val="000000" w:themeColor="text1"/>
          <w:kern w:val="24"/>
          <w:lang w:val="en-GB"/>
        </w:rPr>
        <w:t xml:space="preserve">: </w:t>
      </w:r>
      <w:r>
        <w:rPr>
          <w:rFonts w:eastAsia="Calibri"/>
          <w:b/>
          <w:bCs/>
          <w:color w:val="000000" w:themeColor="text1"/>
          <w:kern w:val="24"/>
          <w:lang w:val="en-GB"/>
        </w:rPr>
        <w:t xml:space="preserve">For NTN, supports capability </w:t>
      </w:r>
      <w:proofErr w:type="spellStart"/>
      <w:r>
        <w:rPr>
          <w:rFonts w:eastAsia="Calibri"/>
          <w:b/>
          <w:bCs/>
          <w:color w:val="000000" w:themeColor="text1"/>
          <w:kern w:val="24"/>
          <w:lang w:val="en-GB"/>
        </w:rPr>
        <w:t>signaling</w:t>
      </w:r>
      <w:proofErr w:type="spellEnd"/>
      <w:r>
        <w:rPr>
          <w:rFonts w:eastAsia="Calibri"/>
          <w:b/>
          <w:bCs/>
          <w:color w:val="000000" w:themeColor="text1"/>
          <w:kern w:val="24"/>
          <w:lang w:val="en-GB"/>
        </w:rPr>
        <w:t xml:space="preserve"> of transmit antenna switching f</w:t>
      </w:r>
      <w:r w:rsidRPr="0020278B">
        <w:rPr>
          <w:rFonts w:eastAsia="Calibri"/>
          <w:b/>
          <w:bCs/>
          <w:color w:val="000000" w:themeColor="text1"/>
          <w:kern w:val="24"/>
          <w:lang w:val="en-GB"/>
        </w:rPr>
        <w:t xml:space="preserve">or </w:t>
      </w:r>
      <w:r>
        <w:rPr>
          <w:rFonts w:eastAsia="Calibri"/>
          <w:b/>
          <w:bCs/>
          <w:color w:val="000000" w:themeColor="text1"/>
          <w:kern w:val="24"/>
          <w:lang w:val="en-GB"/>
        </w:rPr>
        <w:t>UEs that indicates capable of more than 1 slots for the maximal TDW size.</w:t>
      </w:r>
    </w:p>
    <w:p w14:paraId="7F6B5ECE" w14:textId="77777777" w:rsidR="00577BA0" w:rsidRDefault="00577BA0" w:rsidP="00AF14D9">
      <w:pPr>
        <w:autoSpaceDE/>
        <w:autoSpaceDN/>
        <w:adjustRightInd/>
        <w:spacing w:line="230" w:lineRule="auto"/>
        <w:textAlignment w:val="auto"/>
        <w:rPr>
          <w:rFonts w:eastAsia="Calibri"/>
          <w:color w:val="000000" w:themeColor="text1"/>
          <w:kern w:val="24"/>
          <w:lang w:val="en-GB"/>
        </w:rPr>
      </w:pPr>
    </w:p>
    <w:p w14:paraId="1C505D6E" w14:textId="143863DA" w:rsidR="00AF14D9" w:rsidRPr="002D7118" w:rsidRDefault="00AF14D9" w:rsidP="00AF14D9">
      <w:pPr>
        <w:autoSpaceDE/>
        <w:autoSpaceDN/>
        <w:adjustRightInd/>
        <w:spacing w:line="230" w:lineRule="auto"/>
        <w:textAlignment w:val="auto"/>
        <w:rPr>
          <w:rFonts w:eastAsia="Calibri"/>
          <w:b/>
          <w:bCs/>
          <w:color w:val="000000" w:themeColor="text1"/>
          <w:kern w:val="24"/>
          <w:lang w:val="en-GB"/>
        </w:rPr>
      </w:pPr>
      <w:r w:rsidRPr="002D7118">
        <w:rPr>
          <w:rFonts w:eastAsia="Calibri"/>
          <w:b/>
          <w:bCs/>
          <w:color w:val="000000" w:themeColor="text1"/>
          <w:kern w:val="24"/>
          <w:lang w:val="en-GB"/>
        </w:rPr>
        <w:t>Proposal 4: Support network RRC configuration to disable a UE’s transmit antenna switching</w:t>
      </w:r>
      <w:r w:rsidR="007C0A49" w:rsidRPr="007C0A49">
        <w:rPr>
          <w:rFonts w:eastAsia="Calibri"/>
          <w:b/>
          <w:bCs/>
          <w:color w:val="000000" w:themeColor="text1"/>
          <w:kern w:val="24"/>
          <w:lang w:val="en-GB"/>
        </w:rPr>
        <w:t xml:space="preserve"> </w:t>
      </w:r>
      <w:r w:rsidR="007C0A49">
        <w:rPr>
          <w:rFonts w:eastAsia="Calibri"/>
          <w:b/>
          <w:bCs/>
          <w:color w:val="000000" w:themeColor="text1"/>
          <w:kern w:val="24"/>
          <w:lang w:val="en-GB"/>
        </w:rPr>
        <w:t>that affects TDW sizes</w:t>
      </w:r>
      <w:r w:rsidR="007C0A49" w:rsidRPr="002D7118">
        <w:rPr>
          <w:rFonts w:eastAsia="Calibri"/>
          <w:b/>
          <w:bCs/>
          <w:color w:val="000000" w:themeColor="text1"/>
          <w:kern w:val="24"/>
          <w:lang w:val="en-GB"/>
        </w:rPr>
        <w:t xml:space="preserve">. </w:t>
      </w:r>
    </w:p>
    <w:p w14:paraId="33B32B0D" w14:textId="77777777" w:rsidR="00504A0E" w:rsidRDefault="00504A0E" w:rsidP="00504A0E">
      <w:pPr>
        <w:autoSpaceDE/>
        <w:autoSpaceDN/>
        <w:adjustRightInd/>
        <w:spacing w:line="230" w:lineRule="auto"/>
        <w:textAlignment w:val="auto"/>
        <w:rPr>
          <w:rFonts w:eastAsia="Calibri"/>
          <w:color w:val="000000" w:themeColor="text1"/>
          <w:kern w:val="24"/>
          <w:lang w:val="en-GB"/>
        </w:rPr>
      </w:pPr>
    </w:p>
    <w:p w14:paraId="7B876CD5" w14:textId="77777777" w:rsidR="00504A0E" w:rsidRPr="00577BA0" w:rsidRDefault="00504A0E" w:rsidP="00504A0E">
      <w:pPr>
        <w:snapToGrid w:val="0"/>
        <w:jc w:val="both"/>
        <w:rPr>
          <w:b/>
          <w:bCs/>
        </w:rPr>
      </w:pPr>
      <w:r w:rsidRPr="00577BA0">
        <w:rPr>
          <w:rFonts w:eastAsia="Calibri"/>
          <w:b/>
          <w:bCs/>
          <w:color w:val="000000" w:themeColor="text1"/>
          <w:kern w:val="24"/>
          <w:lang w:val="en-GB"/>
        </w:rPr>
        <w:t xml:space="preserve">Proposal 5: </w:t>
      </w:r>
      <w:r w:rsidRPr="00577BA0">
        <w:rPr>
          <w:b/>
          <w:bCs/>
        </w:rPr>
        <w:t>For NTN-specific PUSCH DMRS bundling, legacy procedure for determining TDWs as defined in Sec. 6.1.7 of 38.214 is reused except the following:</w:t>
      </w:r>
    </w:p>
    <w:p w14:paraId="156722CA" w14:textId="7D0F35E5" w:rsidR="00504A0E" w:rsidRDefault="00504A0E" w:rsidP="00504A0E">
      <w:pPr>
        <w:pStyle w:val="ListParagraph"/>
        <w:numPr>
          <w:ilvl w:val="0"/>
          <w:numId w:val="49"/>
        </w:numPr>
        <w:snapToGrid w:val="0"/>
        <w:jc w:val="both"/>
        <w:rPr>
          <w:rFonts w:ascii="Times New Roman" w:hAnsi="Times New Roman"/>
          <w:b/>
          <w:bCs/>
          <w:sz w:val="20"/>
          <w:szCs w:val="20"/>
        </w:rPr>
      </w:pPr>
      <w:r w:rsidRPr="00545735">
        <w:rPr>
          <w:rFonts w:ascii="Times New Roman" w:hAnsi="Times New Roman"/>
          <w:b/>
          <w:bCs/>
          <w:sz w:val="20"/>
          <w:szCs w:val="20"/>
        </w:rPr>
        <w:t>For UE capable of and enabled with transmit antenna switching, if the number of nominal TDWs determined using the legacy procedure</w:t>
      </w:r>
      <w:r w:rsidR="00366EC6">
        <w:rPr>
          <w:rFonts w:ascii="Times New Roman" w:hAnsi="Times New Roman"/>
          <w:b/>
          <w:bCs/>
          <w:sz w:val="20"/>
          <w:szCs w:val="20"/>
        </w:rPr>
        <w:t xml:space="preserve"> is equal to 1</w:t>
      </w:r>
      <w:r w:rsidRPr="00545735">
        <w:rPr>
          <w:rFonts w:ascii="Times New Roman" w:hAnsi="Times New Roman"/>
          <w:b/>
          <w:bCs/>
          <w:sz w:val="20"/>
          <w:szCs w:val="20"/>
        </w:rPr>
        <w:t xml:space="preserve">, UE calculates a new nominal TDW duration as </w:t>
      </w:r>
      <w:proofErr w:type="spellStart"/>
      <w:r w:rsidRPr="00545735">
        <w:rPr>
          <w:rFonts w:ascii="Times New Roman" w:hAnsi="Times New Roman"/>
          <w:b/>
          <w:bCs/>
          <w:sz w:val="20"/>
          <w:szCs w:val="20"/>
        </w:rPr>
        <w:t>nominalTDWLength_new</w:t>
      </w:r>
      <w:proofErr w:type="spellEnd"/>
      <w:r w:rsidRPr="00545735">
        <w:rPr>
          <w:rFonts w:ascii="Times New Roman" w:hAnsi="Times New Roman"/>
          <w:b/>
          <w:bCs/>
          <w:sz w:val="20"/>
          <w:szCs w:val="20"/>
        </w:rPr>
        <w:t xml:space="preserve"> = ceil(</w:t>
      </w:r>
      <w:proofErr w:type="spellStart"/>
      <w:r w:rsidRPr="00545735">
        <w:rPr>
          <w:rFonts w:ascii="Times New Roman" w:hAnsi="Times New Roman"/>
          <w:b/>
          <w:bCs/>
          <w:sz w:val="20"/>
          <w:szCs w:val="20"/>
        </w:rPr>
        <w:t>nominalTDWLength</w:t>
      </w:r>
      <w:proofErr w:type="spellEnd"/>
      <w:r w:rsidRPr="00545735">
        <w:rPr>
          <w:rFonts w:ascii="Times New Roman" w:hAnsi="Times New Roman"/>
          <w:b/>
          <w:bCs/>
          <w:sz w:val="20"/>
          <w:szCs w:val="20"/>
        </w:rPr>
        <w:t>/2</w:t>
      </w:r>
      <w:proofErr w:type="gramStart"/>
      <w:r w:rsidRPr="00545735">
        <w:rPr>
          <w:rFonts w:ascii="Times New Roman" w:hAnsi="Times New Roman"/>
          <w:b/>
          <w:bCs/>
          <w:sz w:val="20"/>
          <w:szCs w:val="20"/>
        </w:rPr>
        <w:t>), and</w:t>
      </w:r>
      <w:proofErr w:type="gramEnd"/>
      <w:r w:rsidRPr="00545735">
        <w:rPr>
          <w:rFonts w:ascii="Times New Roman" w:hAnsi="Times New Roman"/>
          <w:b/>
          <w:bCs/>
          <w:sz w:val="20"/>
          <w:szCs w:val="20"/>
        </w:rPr>
        <w:t xml:space="preserve"> determines the </w:t>
      </w:r>
      <w:r>
        <w:rPr>
          <w:rFonts w:ascii="Times New Roman" w:hAnsi="Times New Roman"/>
          <w:b/>
          <w:bCs/>
          <w:sz w:val="20"/>
          <w:szCs w:val="20"/>
        </w:rPr>
        <w:t xml:space="preserve">nominal and </w:t>
      </w:r>
      <w:r w:rsidRPr="00545735">
        <w:rPr>
          <w:rFonts w:ascii="Times New Roman" w:hAnsi="Times New Roman"/>
          <w:b/>
          <w:bCs/>
          <w:sz w:val="20"/>
          <w:szCs w:val="20"/>
        </w:rPr>
        <w:t xml:space="preserve">actual TDWs using the </w:t>
      </w:r>
      <w:proofErr w:type="spellStart"/>
      <w:r w:rsidRPr="00545735">
        <w:rPr>
          <w:rFonts w:ascii="Times New Roman" w:hAnsi="Times New Roman"/>
          <w:b/>
          <w:bCs/>
          <w:sz w:val="20"/>
          <w:szCs w:val="20"/>
        </w:rPr>
        <w:t>nominalTDWLength_new</w:t>
      </w:r>
      <w:proofErr w:type="spellEnd"/>
      <w:r w:rsidRPr="00545735">
        <w:rPr>
          <w:rFonts w:ascii="Times New Roman" w:hAnsi="Times New Roman"/>
          <w:b/>
          <w:bCs/>
          <w:sz w:val="20"/>
          <w:szCs w:val="20"/>
        </w:rPr>
        <w:t xml:space="preserve"> following the legacy procedure.</w:t>
      </w:r>
    </w:p>
    <w:p w14:paraId="30AE5927" w14:textId="77777777" w:rsidR="00504A0E" w:rsidRPr="00545735" w:rsidRDefault="00504A0E" w:rsidP="00BF0BF5">
      <w:pPr>
        <w:pStyle w:val="ListParagraph"/>
        <w:numPr>
          <w:ilvl w:val="1"/>
          <w:numId w:val="49"/>
        </w:numPr>
        <w:snapToGrid w:val="0"/>
        <w:jc w:val="both"/>
        <w:rPr>
          <w:rFonts w:ascii="Times New Roman" w:hAnsi="Times New Roman"/>
          <w:b/>
          <w:bCs/>
          <w:sz w:val="20"/>
          <w:szCs w:val="20"/>
        </w:rPr>
      </w:pPr>
      <w:r>
        <w:rPr>
          <w:rFonts w:ascii="Times New Roman" w:hAnsi="Times New Roman"/>
          <w:b/>
          <w:bCs/>
          <w:sz w:val="20"/>
          <w:szCs w:val="20"/>
        </w:rPr>
        <w:t xml:space="preserve">UE considers </w:t>
      </w:r>
      <w:proofErr w:type="spellStart"/>
      <w:r>
        <w:rPr>
          <w:rFonts w:ascii="Times New Roman" w:hAnsi="Times New Roman"/>
          <w:b/>
          <w:bCs/>
          <w:sz w:val="20"/>
          <w:szCs w:val="20"/>
        </w:rPr>
        <w:t>txAntSwitching</w:t>
      </w:r>
      <w:proofErr w:type="spellEnd"/>
      <w:r>
        <w:rPr>
          <w:rFonts w:ascii="Times New Roman" w:hAnsi="Times New Roman"/>
          <w:b/>
          <w:bCs/>
          <w:sz w:val="20"/>
          <w:szCs w:val="20"/>
        </w:rPr>
        <w:t xml:space="preserve"> disabled when nominal TDW duration is configured.</w:t>
      </w:r>
    </w:p>
    <w:p w14:paraId="57DAE65B" w14:textId="77777777" w:rsidR="00577BA0" w:rsidRDefault="00577BA0" w:rsidP="00AF14D9">
      <w:pPr>
        <w:snapToGrid w:val="0"/>
        <w:jc w:val="both"/>
        <w:rPr>
          <w:rFonts w:eastAsia="Calibri"/>
          <w:color w:val="000000" w:themeColor="text1"/>
          <w:kern w:val="24"/>
          <w:lang w:val="en-GB"/>
        </w:rPr>
      </w:pPr>
    </w:p>
    <w:p w14:paraId="499C4164" w14:textId="4807084C" w:rsidR="00002FD0" w:rsidRPr="00002FD0" w:rsidRDefault="00E523F3" w:rsidP="00002FD0">
      <w:pPr>
        <w:pStyle w:val="Heading1"/>
        <w:spacing w:before="480"/>
        <w:jc w:val="both"/>
      </w:pPr>
      <w:r w:rsidRPr="000A64D8">
        <w:rPr>
          <w:lang w:val="en-US"/>
        </w:rPr>
        <w:t>References</w:t>
      </w:r>
      <w:bookmarkStart w:id="6" w:name="_Ref457730460"/>
      <w:bookmarkStart w:id="7" w:name="_Ref450735844"/>
      <w:bookmarkStart w:id="8" w:name="_Ref450342757"/>
      <w:r w:rsidR="002F77EB" w:rsidRPr="005D74B7">
        <w:rPr>
          <w:rFonts w:hint="eastAsia"/>
        </w:rPr>
        <w:tab/>
      </w:r>
    </w:p>
    <w:p w14:paraId="725FADC0" w14:textId="6037264F" w:rsidR="00A33C1D" w:rsidRDefault="00A33C1D" w:rsidP="00A33C1D">
      <w:pPr>
        <w:pStyle w:val="ListParagraph"/>
        <w:numPr>
          <w:ilvl w:val="0"/>
          <w:numId w:val="2"/>
        </w:numPr>
        <w:rPr>
          <w:rFonts w:ascii="Times New Roman" w:hAnsi="Times New Roman"/>
          <w:sz w:val="20"/>
          <w:szCs w:val="20"/>
        </w:rPr>
      </w:pPr>
      <w:bookmarkStart w:id="9" w:name="_Ref461383190"/>
      <w:r w:rsidRPr="00EB1EC9">
        <w:rPr>
          <w:rFonts w:ascii="Times New Roman" w:hAnsi="Times New Roman"/>
          <w:sz w:val="20"/>
          <w:szCs w:val="20"/>
        </w:rPr>
        <w:t>Chair’s note, RAN1#11</w:t>
      </w:r>
      <w:r w:rsidR="00640365" w:rsidRPr="00EB1EC9">
        <w:rPr>
          <w:rFonts w:ascii="Times New Roman" w:hAnsi="Times New Roman"/>
          <w:sz w:val="20"/>
          <w:szCs w:val="20"/>
        </w:rPr>
        <w:t>2</w:t>
      </w:r>
      <w:r w:rsidR="00387999">
        <w:rPr>
          <w:rFonts w:ascii="Times New Roman" w:hAnsi="Times New Roman"/>
          <w:sz w:val="20"/>
          <w:szCs w:val="20"/>
        </w:rPr>
        <w:t>bis-e</w:t>
      </w:r>
      <w:r w:rsidRPr="00EB1EC9">
        <w:rPr>
          <w:rFonts w:ascii="Times New Roman" w:hAnsi="Times New Roman"/>
          <w:sz w:val="20"/>
          <w:szCs w:val="20"/>
        </w:rPr>
        <w:t xml:space="preserve">. </w:t>
      </w:r>
    </w:p>
    <w:p w14:paraId="6A9D27B3" w14:textId="320EBCC4" w:rsidR="00276292" w:rsidRPr="00276292" w:rsidRDefault="00276292" w:rsidP="00276292">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3GPP TS 38.801,</w:t>
      </w:r>
      <w:r w:rsidRPr="0055383E">
        <w:t xml:space="preserve"> </w:t>
      </w:r>
      <w:r w:rsidRPr="0055383E">
        <w:rPr>
          <w:rFonts w:ascii="Times New Roman" w:hAnsi="Times New Roman"/>
          <w:color w:val="000000"/>
          <w:sz w:val="20"/>
          <w:szCs w:val="20"/>
        </w:rPr>
        <w:t xml:space="preserve">User Equipment (UE) radio transmission and </w:t>
      </w:r>
      <w:r w:rsidRPr="00954743">
        <w:rPr>
          <w:rFonts w:ascii="Times New Roman" w:hAnsi="Times New Roman"/>
          <w:color w:val="000000"/>
          <w:sz w:val="20"/>
          <w:szCs w:val="20"/>
        </w:rPr>
        <w:t>reception, Part 1: Range 1 Standalone, v17.5.0.</w:t>
      </w:r>
    </w:p>
    <w:p w14:paraId="45D5CA0F" w14:textId="675A6587" w:rsidR="00CE53DF" w:rsidRPr="00E93FF2" w:rsidRDefault="0023133D" w:rsidP="00E93FF2">
      <w:pPr>
        <w:pStyle w:val="ListParagraph"/>
        <w:numPr>
          <w:ilvl w:val="0"/>
          <w:numId w:val="2"/>
        </w:numPr>
        <w:rPr>
          <w:rFonts w:ascii="Times New Roman" w:hAnsi="Times New Roman"/>
          <w:sz w:val="20"/>
          <w:szCs w:val="20"/>
        </w:rPr>
      </w:pPr>
      <w:r>
        <w:rPr>
          <w:rFonts w:ascii="Times New Roman" w:hAnsi="Times New Roman"/>
          <w:sz w:val="20"/>
          <w:szCs w:val="20"/>
        </w:rPr>
        <w:t>R1-</w:t>
      </w:r>
      <w:r w:rsidR="00901226">
        <w:rPr>
          <w:rFonts w:ascii="Times New Roman" w:hAnsi="Times New Roman"/>
          <w:sz w:val="20"/>
          <w:szCs w:val="20"/>
        </w:rPr>
        <w:t>2207255, “Coverage enhancements for NR NTN,” Qualcomm Tech</w:t>
      </w:r>
      <w:r w:rsidR="0004304E">
        <w:rPr>
          <w:rFonts w:ascii="Times New Roman" w:hAnsi="Times New Roman"/>
          <w:sz w:val="20"/>
          <w:szCs w:val="20"/>
        </w:rPr>
        <w:t>nologies, RAN1#</w:t>
      </w:r>
      <w:r w:rsidR="00EA6B89">
        <w:rPr>
          <w:rFonts w:ascii="Times New Roman" w:hAnsi="Times New Roman"/>
          <w:sz w:val="20"/>
          <w:szCs w:val="20"/>
        </w:rPr>
        <w:t xml:space="preserve">110, </w:t>
      </w:r>
      <w:proofErr w:type="gramStart"/>
      <w:r w:rsidR="002A225E">
        <w:rPr>
          <w:rFonts w:ascii="Times New Roman" w:hAnsi="Times New Roman"/>
          <w:sz w:val="20"/>
          <w:szCs w:val="20"/>
        </w:rPr>
        <w:t>Aug.,</w:t>
      </w:r>
      <w:proofErr w:type="gramEnd"/>
      <w:r w:rsidR="002A225E">
        <w:rPr>
          <w:rFonts w:ascii="Times New Roman" w:hAnsi="Times New Roman"/>
          <w:sz w:val="20"/>
          <w:szCs w:val="20"/>
        </w:rPr>
        <w:t xml:space="preserve"> 2022.</w:t>
      </w:r>
      <w:bookmarkEnd w:id="6"/>
      <w:bookmarkEnd w:id="7"/>
      <w:bookmarkEnd w:id="8"/>
      <w:bookmarkEnd w:id="9"/>
    </w:p>
    <w:sectPr w:rsidR="00CE53DF" w:rsidRPr="00E93FF2"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8070" w14:textId="77777777" w:rsidR="001A4F3C" w:rsidRDefault="001A4F3C">
      <w:r>
        <w:separator/>
      </w:r>
    </w:p>
  </w:endnote>
  <w:endnote w:type="continuationSeparator" w:id="0">
    <w:p w14:paraId="6795488A" w14:textId="77777777" w:rsidR="001A4F3C" w:rsidRDefault="001A4F3C">
      <w:r>
        <w:continuationSeparator/>
      </w:r>
    </w:p>
  </w:endnote>
  <w:endnote w:type="continuationNotice" w:id="1">
    <w:p w14:paraId="369BE908" w14:textId="77777777" w:rsidR="001A4F3C" w:rsidRDefault="001A4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pitch w:val="variable"/>
    <w:sig w:usb0="00000001"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307F1" w14:textId="77777777" w:rsidR="001A4F3C" w:rsidRDefault="001A4F3C">
      <w:r>
        <w:separator/>
      </w:r>
    </w:p>
  </w:footnote>
  <w:footnote w:type="continuationSeparator" w:id="0">
    <w:p w14:paraId="1D5438CC" w14:textId="77777777" w:rsidR="001A4F3C" w:rsidRDefault="001A4F3C">
      <w:r>
        <w:continuationSeparator/>
      </w:r>
    </w:p>
  </w:footnote>
  <w:footnote w:type="continuationNotice" w:id="1">
    <w:p w14:paraId="670C4190" w14:textId="77777777" w:rsidR="001A4F3C" w:rsidRDefault="001A4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D2A6E"/>
    <w:multiLevelType w:val="hybridMultilevel"/>
    <w:tmpl w:val="3F3C69C2"/>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7F079D"/>
    <w:multiLevelType w:val="hybridMultilevel"/>
    <w:tmpl w:val="8E9A4EFE"/>
    <w:lvl w:ilvl="0" w:tplc="EFCCF1A4">
      <w:start w:val="1"/>
      <w:numFmt w:val="bullet"/>
      <w:lvlText w:val="•"/>
      <w:lvlJc w:val="left"/>
      <w:pPr>
        <w:tabs>
          <w:tab w:val="num" w:pos="648"/>
        </w:tabs>
        <w:ind w:left="648" w:hanging="360"/>
      </w:pPr>
      <w:rPr>
        <w:rFonts w:ascii="Arial" w:hAnsi="Arial" w:hint="default"/>
      </w:rPr>
    </w:lvl>
    <w:lvl w:ilvl="1" w:tplc="BF6E8D8A">
      <w:start w:val="1"/>
      <w:numFmt w:val="bullet"/>
      <w:lvlText w:val="•"/>
      <w:lvlJc w:val="left"/>
      <w:pPr>
        <w:tabs>
          <w:tab w:val="num" w:pos="1368"/>
        </w:tabs>
        <w:ind w:left="1368" w:hanging="360"/>
      </w:pPr>
      <w:rPr>
        <w:rFonts w:ascii="Arial" w:hAnsi="Arial" w:hint="default"/>
      </w:rPr>
    </w:lvl>
    <w:lvl w:ilvl="2" w:tplc="7DB87494">
      <w:start w:val="1"/>
      <w:numFmt w:val="bullet"/>
      <w:lvlText w:val="•"/>
      <w:lvlJc w:val="left"/>
      <w:pPr>
        <w:tabs>
          <w:tab w:val="num" w:pos="2088"/>
        </w:tabs>
        <w:ind w:left="2088" w:hanging="360"/>
      </w:pPr>
      <w:rPr>
        <w:rFonts w:ascii="Arial" w:hAnsi="Arial" w:hint="default"/>
      </w:rPr>
    </w:lvl>
    <w:lvl w:ilvl="3" w:tplc="BD50341E" w:tentative="1">
      <w:start w:val="1"/>
      <w:numFmt w:val="bullet"/>
      <w:lvlText w:val="•"/>
      <w:lvlJc w:val="left"/>
      <w:pPr>
        <w:tabs>
          <w:tab w:val="num" w:pos="2808"/>
        </w:tabs>
        <w:ind w:left="2808" w:hanging="360"/>
      </w:pPr>
      <w:rPr>
        <w:rFonts w:ascii="Arial" w:hAnsi="Arial" w:hint="default"/>
      </w:rPr>
    </w:lvl>
    <w:lvl w:ilvl="4" w:tplc="BD76DD8A" w:tentative="1">
      <w:start w:val="1"/>
      <w:numFmt w:val="bullet"/>
      <w:lvlText w:val="•"/>
      <w:lvlJc w:val="left"/>
      <w:pPr>
        <w:tabs>
          <w:tab w:val="num" w:pos="3528"/>
        </w:tabs>
        <w:ind w:left="3528" w:hanging="360"/>
      </w:pPr>
      <w:rPr>
        <w:rFonts w:ascii="Arial" w:hAnsi="Arial" w:hint="default"/>
      </w:rPr>
    </w:lvl>
    <w:lvl w:ilvl="5" w:tplc="B1C45E84" w:tentative="1">
      <w:start w:val="1"/>
      <w:numFmt w:val="bullet"/>
      <w:lvlText w:val="•"/>
      <w:lvlJc w:val="left"/>
      <w:pPr>
        <w:tabs>
          <w:tab w:val="num" w:pos="4248"/>
        </w:tabs>
        <w:ind w:left="4248" w:hanging="360"/>
      </w:pPr>
      <w:rPr>
        <w:rFonts w:ascii="Arial" w:hAnsi="Arial" w:hint="default"/>
      </w:rPr>
    </w:lvl>
    <w:lvl w:ilvl="6" w:tplc="69CC0F4E" w:tentative="1">
      <w:start w:val="1"/>
      <w:numFmt w:val="bullet"/>
      <w:lvlText w:val="•"/>
      <w:lvlJc w:val="left"/>
      <w:pPr>
        <w:tabs>
          <w:tab w:val="num" w:pos="4968"/>
        </w:tabs>
        <w:ind w:left="4968" w:hanging="360"/>
      </w:pPr>
      <w:rPr>
        <w:rFonts w:ascii="Arial" w:hAnsi="Arial" w:hint="default"/>
      </w:rPr>
    </w:lvl>
    <w:lvl w:ilvl="7" w:tplc="809C75C0" w:tentative="1">
      <w:start w:val="1"/>
      <w:numFmt w:val="bullet"/>
      <w:lvlText w:val="•"/>
      <w:lvlJc w:val="left"/>
      <w:pPr>
        <w:tabs>
          <w:tab w:val="num" w:pos="5688"/>
        </w:tabs>
        <w:ind w:left="5688" w:hanging="360"/>
      </w:pPr>
      <w:rPr>
        <w:rFonts w:ascii="Arial" w:hAnsi="Arial" w:hint="default"/>
      </w:rPr>
    </w:lvl>
    <w:lvl w:ilvl="8" w:tplc="B360E9B6"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4BC21AF"/>
    <w:multiLevelType w:val="hybridMultilevel"/>
    <w:tmpl w:val="D7F2E66C"/>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9"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91180"/>
    <w:multiLevelType w:val="hybridMultilevel"/>
    <w:tmpl w:val="0B04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617F0"/>
    <w:multiLevelType w:val="hybridMultilevel"/>
    <w:tmpl w:val="965A62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4751B0"/>
    <w:multiLevelType w:val="hybridMultilevel"/>
    <w:tmpl w:val="066A6DD2"/>
    <w:lvl w:ilvl="0" w:tplc="F3BC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E248C6"/>
    <w:multiLevelType w:val="hybridMultilevel"/>
    <w:tmpl w:val="51D01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7521A5"/>
    <w:multiLevelType w:val="hybridMultilevel"/>
    <w:tmpl w:val="722C9370"/>
    <w:lvl w:ilvl="0" w:tplc="35BCF8C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2" w15:restartNumberingAfterBreak="0">
    <w:nsid w:val="53A35E13"/>
    <w:multiLevelType w:val="hybridMultilevel"/>
    <w:tmpl w:val="9B6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EA72A4"/>
    <w:multiLevelType w:val="hybridMultilevel"/>
    <w:tmpl w:val="204EA356"/>
    <w:lvl w:ilvl="0" w:tplc="81DAF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535FA"/>
    <w:multiLevelType w:val="hybridMultilevel"/>
    <w:tmpl w:val="FFFFFFFF"/>
    <w:lvl w:ilvl="0" w:tplc="414C6F04">
      <w:start w:val="1"/>
      <w:numFmt w:val="bullet"/>
      <w:lvlText w:val=""/>
      <w:lvlJc w:val="left"/>
      <w:pPr>
        <w:ind w:left="720" w:hanging="360"/>
      </w:pPr>
      <w:rPr>
        <w:rFonts w:ascii="Symbol" w:hAnsi="Symbol" w:hint="default"/>
      </w:rPr>
    </w:lvl>
    <w:lvl w:ilvl="1" w:tplc="8F148BF6">
      <w:start w:val="1"/>
      <w:numFmt w:val="bullet"/>
      <w:lvlText w:val="o"/>
      <w:lvlJc w:val="left"/>
      <w:pPr>
        <w:ind w:left="1440" w:hanging="360"/>
      </w:pPr>
      <w:rPr>
        <w:rFonts w:ascii="Courier New" w:hAnsi="Courier New" w:hint="default"/>
      </w:rPr>
    </w:lvl>
    <w:lvl w:ilvl="2" w:tplc="E4AAC8F0">
      <w:start w:val="1"/>
      <w:numFmt w:val="bullet"/>
      <w:lvlText w:val=""/>
      <w:lvlJc w:val="left"/>
      <w:pPr>
        <w:ind w:left="2160" w:hanging="360"/>
      </w:pPr>
      <w:rPr>
        <w:rFonts w:ascii="Wingdings" w:hAnsi="Wingdings" w:hint="default"/>
      </w:rPr>
    </w:lvl>
    <w:lvl w:ilvl="3" w:tplc="2A9CF128">
      <w:start w:val="1"/>
      <w:numFmt w:val="bullet"/>
      <w:lvlText w:val=""/>
      <w:lvlJc w:val="left"/>
      <w:pPr>
        <w:ind w:left="2880" w:hanging="360"/>
      </w:pPr>
      <w:rPr>
        <w:rFonts w:ascii="Symbol" w:hAnsi="Symbol" w:hint="default"/>
      </w:rPr>
    </w:lvl>
    <w:lvl w:ilvl="4" w:tplc="325C6C50">
      <w:start w:val="1"/>
      <w:numFmt w:val="bullet"/>
      <w:lvlText w:val="o"/>
      <w:lvlJc w:val="left"/>
      <w:pPr>
        <w:ind w:left="3600" w:hanging="360"/>
      </w:pPr>
      <w:rPr>
        <w:rFonts w:ascii="Courier New" w:hAnsi="Courier New" w:hint="default"/>
      </w:rPr>
    </w:lvl>
    <w:lvl w:ilvl="5" w:tplc="938ABF1C">
      <w:start w:val="1"/>
      <w:numFmt w:val="bullet"/>
      <w:lvlText w:val=""/>
      <w:lvlJc w:val="left"/>
      <w:pPr>
        <w:ind w:left="4320" w:hanging="360"/>
      </w:pPr>
      <w:rPr>
        <w:rFonts w:ascii="Wingdings" w:hAnsi="Wingdings" w:hint="default"/>
      </w:rPr>
    </w:lvl>
    <w:lvl w:ilvl="6" w:tplc="499EA67E">
      <w:start w:val="1"/>
      <w:numFmt w:val="bullet"/>
      <w:lvlText w:val=""/>
      <w:lvlJc w:val="left"/>
      <w:pPr>
        <w:ind w:left="5040" w:hanging="360"/>
      </w:pPr>
      <w:rPr>
        <w:rFonts w:ascii="Symbol" w:hAnsi="Symbol" w:hint="default"/>
      </w:rPr>
    </w:lvl>
    <w:lvl w:ilvl="7" w:tplc="B6320E58">
      <w:start w:val="1"/>
      <w:numFmt w:val="bullet"/>
      <w:lvlText w:val="o"/>
      <w:lvlJc w:val="left"/>
      <w:pPr>
        <w:ind w:left="5760" w:hanging="360"/>
      </w:pPr>
      <w:rPr>
        <w:rFonts w:ascii="Courier New" w:hAnsi="Courier New" w:hint="default"/>
      </w:rPr>
    </w:lvl>
    <w:lvl w:ilvl="8" w:tplc="B01EF4A0">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03C95"/>
    <w:multiLevelType w:val="hybridMultilevel"/>
    <w:tmpl w:val="052CCADE"/>
    <w:lvl w:ilvl="0" w:tplc="54E066C6">
      <w:start w:val="1"/>
      <w:numFmt w:val="decimal"/>
      <w:lvlText w:val="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067039"/>
    <w:multiLevelType w:val="hybridMultilevel"/>
    <w:tmpl w:val="F12E26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3B7733"/>
    <w:multiLevelType w:val="hybridMultilevel"/>
    <w:tmpl w:val="3E942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B258F"/>
    <w:multiLevelType w:val="hybridMultilevel"/>
    <w:tmpl w:val="D588744A"/>
    <w:lvl w:ilvl="0" w:tplc="2A903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43" w15:restartNumberingAfterBreak="0">
    <w:nsid w:val="76740C66"/>
    <w:multiLevelType w:val="hybridMultilevel"/>
    <w:tmpl w:val="8C7E21D6"/>
    <w:lvl w:ilvl="0" w:tplc="834EE156">
      <w:start w:val="1"/>
      <w:numFmt w:val="bullet"/>
      <w:lvlText w:val="•"/>
      <w:lvlJc w:val="left"/>
      <w:pPr>
        <w:tabs>
          <w:tab w:val="num" w:pos="720"/>
        </w:tabs>
        <w:ind w:left="720" w:hanging="360"/>
      </w:pPr>
      <w:rPr>
        <w:rFonts w:ascii="Arial" w:hAnsi="Arial" w:hint="default"/>
      </w:rPr>
    </w:lvl>
    <w:lvl w:ilvl="1" w:tplc="38C437D8" w:tentative="1">
      <w:start w:val="1"/>
      <w:numFmt w:val="bullet"/>
      <w:lvlText w:val="•"/>
      <w:lvlJc w:val="left"/>
      <w:pPr>
        <w:tabs>
          <w:tab w:val="num" w:pos="1440"/>
        </w:tabs>
        <w:ind w:left="1440" w:hanging="360"/>
      </w:pPr>
      <w:rPr>
        <w:rFonts w:ascii="Arial" w:hAnsi="Arial" w:hint="default"/>
      </w:rPr>
    </w:lvl>
    <w:lvl w:ilvl="2" w:tplc="D092EE6C">
      <w:start w:val="1"/>
      <w:numFmt w:val="bullet"/>
      <w:lvlText w:val="•"/>
      <w:lvlJc w:val="left"/>
      <w:pPr>
        <w:tabs>
          <w:tab w:val="num" w:pos="2160"/>
        </w:tabs>
        <w:ind w:left="2160" w:hanging="360"/>
      </w:pPr>
      <w:rPr>
        <w:rFonts w:ascii="Arial" w:hAnsi="Arial" w:hint="default"/>
      </w:rPr>
    </w:lvl>
    <w:lvl w:ilvl="3" w:tplc="69820AC0" w:tentative="1">
      <w:start w:val="1"/>
      <w:numFmt w:val="bullet"/>
      <w:lvlText w:val="•"/>
      <w:lvlJc w:val="left"/>
      <w:pPr>
        <w:tabs>
          <w:tab w:val="num" w:pos="2880"/>
        </w:tabs>
        <w:ind w:left="2880" w:hanging="360"/>
      </w:pPr>
      <w:rPr>
        <w:rFonts w:ascii="Arial" w:hAnsi="Arial" w:hint="default"/>
      </w:rPr>
    </w:lvl>
    <w:lvl w:ilvl="4" w:tplc="CF64B780" w:tentative="1">
      <w:start w:val="1"/>
      <w:numFmt w:val="bullet"/>
      <w:lvlText w:val="•"/>
      <w:lvlJc w:val="left"/>
      <w:pPr>
        <w:tabs>
          <w:tab w:val="num" w:pos="3600"/>
        </w:tabs>
        <w:ind w:left="3600" w:hanging="360"/>
      </w:pPr>
      <w:rPr>
        <w:rFonts w:ascii="Arial" w:hAnsi="Arial" w:hint="default"/>
      </w:rPr>
    </w:lvl>
    <w:lvl w:ilvl="5" w:tplc="2138AEEA" w:tentative="1">
      <w:start w:val="1"/>
      <w:numFmt w:val="bullet"/>
      <w:lvlText w:val="•"/>
      <w:lvlJc w:val="left"/>
      <w:pPr>
        <w:tabs>
          <w:tab w:val="num" w:pos="4320"/>
        </w:tabs>
        <w:ind w:left="4320" w:hanging="360"/>
      </w:pPr>
      <w:rPr>
        <w:rFonts w:ascii="Arial" w:hAnsi="Arial" w:hint="default"/>
      </w:rPr>
    </w:lvl>
    <w:lvl w:ilvl="6" w:tplc="BC6AA1E2" w:tentative="1">
      <w:start w:val="1"/>
      <w:numFmt w:val="bullet"/>
      <w:lvlText w:val="•"/>
      <w:lvlJc w:val="left"/>
      <w:pPr>
        <w:tabs>
          <w:tab w:val="num" w:pos="5040"/>
        </w:tabs>
        <w:ind w:left="5040" w:hanging="360"/>
      </w:pPr>
      <w:rPr>
        <w:rFonts w:ascii="Arial" w:hAnsi="Arial" w:hint="default"/>
      </w:rPr>
    </w:lvl>
    <w:lvl w:ilvl="7" w:tplc="0D70BE72" w:tentative="1">
      <w:start w:val="1"/>
      <w:numFmt w:val="bullet"/>
      <w:lvlText w:val="•"/>
      <w:lvlJc w:val="left"/>
      <w:pPr>
        <w:tabs>
          <w:tab w:val="num" w:pos="5760"/>
        </w:tabs>
        <w:ind w:left="5760" w:hanging="360"/>
      </w:pPr>
      <w:rPr>
        <w:rFonts w:ascii="Arial" w:hAnsi="Arial" w:hint="default"/>
      </w:rPr>
    </w:lvl>
    <w:lvl w:ilvl="8" w:tplc="C93A556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EE03DFD"/>
    <w:multiLevelType w:val="hybridMultilevel"/>
    <w:tmpl w:val="C9148E9E"/>
    <w:lvl w:ilvl="0" w:tplc="D8CA60E8">
      <w:numFmt w:val="bullet"/>
      <w:lvlText w:val="-"/>
      <w:lvlJc w:val="left"/>
      <w:pPr>
        <w:ind w:left="1296" w:hanging="360"/>
      </w:pPr>
      <w:rPr>
        <w:rFonts w:ascii="Times New Roman" w:eastAsia="PMingLiU"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E262E8"/>
    <w:multiLevelType w:val="hybridMultilevel"/>
    <w:tmpl w:val="CBAE5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153901">
    <w:abstractNumId w:val="13"/>
  </w:num>
  <w:num w:numId="2" w16cid:durableId="1055741445">
    <w:abstractNumId w:val="0"/>
  </w:num>
  <w:num w:numId="3" w16cid:durableId="1472946456">
    <w:abstractNumId w:val="3"/>
  </w:num>
  <w:num w:numId="4" w16cid:durableId="1437751156">
    <w:abstractNumId w:val="19"/>
  </w:num>
  <w:num w:numId="5" w16cid:durableId="786508006">
    <w:abstractNumId w:val="15"/>
  </w:num>
  <w:num w:numId="6" w16cid:durableId="168952583">
    <w:abstractNumId w:val="28"/>
  </w:num>
  <w:num w:numId="7" w16cid:durableId="712191898">
    <w:abstractNumId w:val="46"/>
  </w:num>
  <w:num w:numId="8" w16cid:durableId="1835800963">
    <w:abstractNumId w:val="29"/>
  </w:num>
  <w:num w:numId="9" w16cid:durableId="1730808970">
    <w:abstractNumId w:val="25"/>
  </w:num>
  <w:num w:numId="10" w16cid:durableId="1539511075">
    <w:abstractNumId w:val="44"/>
  </w:num>
  <w:num w:numId="11" w16cid:durableId="1162895015">
    <w:abstractNumId w:val="22"/>
  </w:num>
  <w:num w:numId="12" w16cid:durableId="1785925779">
    <w:abstractNumId w:val="35"/>
  </w:num>
  <w:num w:numId="13" w16cid:durableId="209149128">
    <w:abstractNumId w:val="26"/>
  </w:num>
  <w:num w:numId="14" w16cid:durableId="205219534">
    <w:abstractNumId w:val="14"/>
  </w:num>
  <w:num w:numId="15" w16cid:durableId="1834031835">
    <w:abstractNumId w:val="39"/>
  </w:num>
  <w:num w:numId="16" w16cid:durableId="716515900">
    <w:abstractNumId w:val="24"/>
  </w:num>
  <w:num w:numId="17" w16cid:durableId="547685426">
    <w:abstractNumId w:val="21"/>
  </w:num>
  <w:num w:numId="18" w16cid:durableId="260649946">
    <w:abstractNumId w:val="17"/>
  </w:num>
  <w:num w:numId="19" w16cid:durableId="433288596">
    <w:abstractNumId w:val="18"/>
  </w:num>
  <w:num w:numId="20" w16cid:durableId="899097334">
    <w:abstractNumId w:val="31"/>
  </w:num>
  <w:num w:numId="21" w16cid:durableId="168182600">
    <w:abstractNumId w:val="42"/>
  </w:num>
  <w:num w:numId="22" w16cid:durableId="1556698536">
    <w:abstractNumId w:val="10"/>
  </w:num>
  <w:num w:numId="23" w16cid:durableId="1220896091">
    <w:abstractNumId w:val="1"/>
  </w:num>
  <w:num w:numId="24" w16cid:durableId="1793091319">
    <w:abstractNumId w:val="4"/>
  </w:num>
  <w:num w:numId="25" w16cid:durableId="1137643208">
    <w:abstractNumId w:val="3"/>
  </w:num>
  <w:num w:numId="26" w16cid:durableId="528766119">
    <w:abstractNumId w:val="33"/>
  </w:num>
  <w:num w:numId="27" w16cid:durableId="2001612018">
    <w:abstractNumId w:val="16"/>
  </w:num>
  <w:num w:numId="28" w16cid:durableId="1519854813">
    <w:abstractNumId w:val="41"/>
  </w:num>
  <w:num w:numId="29" w16cid:durableId="995112144">
    <w:abstractNumId w:val="47"/>
  </w:num>
  <w:num w:numId="30" w16cid:durableId="1575821114">
    <w:abstractNumId w:val="30"/>
  </w:num>
  <w:num w:numId="31" w16cid:durableId="1781949972">
    <w:abstractNumId w:val="36"/>
  </w:num>
  <w:num w:numId="32" w16cid:durableId="315064111">
    <w:abstractNumId w:val="37"/>
  </w:num>
  <w:num w:numId="33" w16cid:durableId="760570061">
    <w:abstractNumId w:val="32"/>
  </w:num>
  <w:num w:numId="34" w16cid:durableId="2141916702">
    <w:abstractNumId w:val="12"/>
  </w:num>
  <w:num w:numId="35" w16cid:durableId="1761675451">
    <w:abstractNumId w:val="11"/>
  </w:num>
  <w:num w:numId="36" w16cid:durableId="595211736">
    <w:abstractNumId w:val="40"/>
  </w:num>
  <w:num w:numId="37" w16cid:durableId="1107192292">
    <w:abstractNumId w:val="34"/>
  </w:num>
  <w:num w:numId="38" w16cid:durableId="1933315582">
    <w:abstractNumId w:val="43"/>
  </w:num>
  <w:num w:numId="39" w16cid:durableId="1961494530">
    <w:abstractNumId w:val="6"/>
  </w:num>
  <w:num w:numId="40" w16cid:durableId="2016761338">
    <w:abstractNumId w:val="23"/>
  </w:num>
  <w:num w:numId="41" w16cid:durableId="2069762714">
    <w:abstractNumId w:val="7"/>
  </w:num>
  <w:num w:numId="42" w16cid:durableId="884098180">
    <w:abstractNumId w:val="20"/>
  </w:num>
  <w:num w:numId="43" w16cid:durableId="1407150296">
    <w:abstractNumId w:val="45"/>
  </w:num>
  <w:num w:numId="44" w16cid:durableId="154419025">
    <w:abstractNumId w:val="9"/>
  </w:num>
  <w:num w:numId="45" w16cid:durableId="249120146">
    <w:abstractNumId w:val="27"/>
  </w:num>
  <w:num w:numId="46" w16cid:durableId="1557930572">
    <w:abstractNumId w:val="5"/>
  </w:num>
  <w:num w:numId="47" w16cid:durableId="1063869166">
    <w:abstractNumId w:val="8"/>
  </w:num>
  <w:num w:numId="48" w16cid:durableId="731004927">
    <w:abstractNumId w:val="38"/>
  </w:num>
  <w:num w:numId="49" w16cid:durableId="1496335841">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B79"/>
    <w:rsid w:val="00002FD0"/>
    <w:rsid w:val="00003131"/>
    <w:rsid w:val="000031C4"/>
    <w:rsid w:val="00003227"/>
    <w:rsid w:val="000037FB"/>
    <w:rsid w:val="00003EF4"/>
    <w:rsid w:val="0000403F"/>
    <w:rsid w:val="00004885"/>
    <w:rsid w:val="00004CBF"/>
    <w:rsid w:val="00004D8C"/>
    <w:rsid w:val="00004DCB"/>
    <w:rsid w:val="000051F0"/>
    <w:rsid w:val="000053BC"/>
    <w:rsid w:val="0000545F"/>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333"/>
    <w:rsid w:val="000273DF"/>
    <w:rsid w:val="00027E95"/>
    <w:rsid w:val="000300A9"/>
    <w:rsid w:val="000300FE"/>
    <w:rsid w:val="0003041F"/>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4E"/>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ADE"/>
    <w:rsid w:val="00051CF2"/>
    <w:rsid w:val="0005201C"/>
    <w:rsid w:val="0005241E"/>
    <w:rsid w:val="0005291A"/>
    <w:rsid w:val="00052AE3"/>
    <w:rsid w:val="000531A8"/>
    <w:rsid w:val="000531E3"/>
    <w:rsid w:val="000532C1"/>
    <w:rsid w:val="00053638"/>
    <w:rsid w:val="00053849"/>
    <w:rsid w:val="00053A47"/>
    <w:rsid w:val="00053AB4"/>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6E2D"/>
    <w:rsid w:val="00067087"/>
    <w:rsid w:val="0006739D"/>
    <w:rsid w:val="0006777C"/>
    <w:rsid w:val="00067FE2"/>
    <w:rsid w:val="00070192"/>
    <w:rsid w:val="00070AB0"/>
    <w:rsid w:val="00070B4D"/>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E7F"/>
    <w:rsid w:val="00075016"/>
    <w:rsid w:val="000750B4"/>
    <w:rsid w:val="000752CD"/>
    <w:rsid w:val="000753CD"/>
    <w:rsid w:val="00075680"/>
    <w:rsid w:val="00075999"/>
    <w:rsid w:val="00075AB6"/>
    <w:rsid w:val="00075CCD"/>
    <w:rsid w:val="00075FA4"/>
    <w:rsid w:val="00076408"/>
    <w:rsid w:val="0007661E"/>
    <w:rsid w:val="00076A29"/>
    <w:rsid w:val="00076A56"/>
    <w:rsid w:val="00076F1A"/>
    <w:rsid w:val="00077073"/>
    <w:rsid w:val="00077232"/>
    <w:rsid w:val="0008022A"/>
    <w:rsid w:val="00080418"/>
    <w:rsid w:val="000805B2"/>
    <w:rsid w:val="00080CFF"/>
    <w:rsid w:val="00080D74"/>
    <w:rsid w:val="00080D81"/>
    <w:rsid w:val="000812AD"/>
    <w:rsid w:val="0008131A"/>
    <w:rsid w:val="00081383"/>
    <w:rsid w:val="000826F4"/>
    <w:rsid w:val="000826FF"/>
    <w:rsid w:val="00082738"/>
    <w:rsid w:val="00082A49"/>
    <w:rsid w:val="00082C90"/>
    <w:rsid w:val="00082CA0"/>
    <w:rsid w:val="00082EE6"/>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AE"/>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0B"/>
    <w:rsid w:val="000B3F37"/>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1B1"/>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6FE4"/>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1EF"/>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566"/>
    <w:rsid w:val="000D7783"/>
    <w:rsid w:val="000D7BBC"/>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6A"/>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2FEB"/>
    <w:rsid w:val="00103658"/>
    <w:rsid w:val="0010366C"/>
    <w:rsid w:val="00104036"/>
    <w:rsid w:val="00104058"/>
    <w:rsid w:val="0010405D"/>
    <w:rsid w:val="00104228"/>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63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631"/>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625"/>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90B"/>
    <w:rsid w:val="00146A13"/>
    <w:rsid w:val="00146A8A"/>
    <w:rsid w:val="00146EAD"/>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894"/>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769"/>
    <w:rsid w:val="00177A0D"/>
    <w:rsid w:val="00177AC2"/>
    <w:rsid w:val="00177DFF"/>
    <w:rsid w:val="00177EBD"/>
    <w:rsid w:val="00177FDD"/>
    <w:rsid w:val="0018016C"/>
    <w:rsid w:val="001806A9"/>
    <w:rsid w:val="00180860"/>
    <w:rsid w:val="00180D96"/>
    <w:rsid w:val="00180E60"/>
    <w:rsid w:val="001817BA"/>
    <w:rsid w:val="001818AD"/>
    <w:rsid w:val="00181B3A"/>
    <w:rsid w:val="001820B2"/>
    <w:rsid w:val="001821E9"/>
    <w:rsid w:val="0018233C"/>
    <w:rsid w:val="0018246F"/>
    <w:rsid w:val="001825A0"/>
    <w:rsid w:val="00182718"/>
    <w:rsid w:val="00182FBF"/>
    <w:rsid w:val="001836DF"/>
    <w:rsid w:val="00183CB7"/>
    <w:rsid w:val="00183CC6"/>
    <w:rsid w:val="00183F11"/>
    <w:rsid w:val="001840F5"/>
    <w:rsid w:val="00184237"/>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CA1"/>
    <w:rsid w:val="00191D56"/>
    <w:rsid w:val="00191EBF"/>
    <w:rsid w:val="00191F95"/>
    <w:rsid w:val="00192093"/>
    <w:rsid w:val="00192206"/>
    <w:rsid w:val="00192338"/>
    <w:rsid w:val="00192589"/>
    <w:rsid w:val="001925E5"/>
    <w:rsid w:val="001929F7"/>
    <w:rsid w:val="00192C2C"/>
    <w:rsid w:val="00193987"/>
    <w:rsid w:val="0019462D"/>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31B"/>
    <w:rsid w:val="001A36CF"/>
    <w:rsid w:val="001A3974"/>
    <w:rsid w:val="001A3BBA"/>
    <w:rsid w:val="001A3F0F"/>
    <w:rsid w:val="001A3FA5"/>
    <w:rsid w:val="001A4E00"/>
    <w:rsid w:val="001A4E20"/>
    <w:rsid w:val="001A4EDF"/>
    <w:rsid w:val="001A4F3C"/>
    <w:rsid w:val="001A5308"/>
    <w:rsid w:val="001A558A"/>
    <w:rsid w:val="001A5F54"/>
    <w:rsid w:val="001A6050"/>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C3B"/>
    <w:rsid w:val="001C1E53"/>
    <w:rsid w:val="001C1EC3"/>
    <w:rsid w:val="001C211D"/>
    <w:rsid w:val="001C22D9"/>
    <w:rsid w:val="001C2A8B"/>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3D6"/>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2F1A"/>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60"/>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A05"/>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6AC"/>
    <w:rsid w:val="00214B17"/>
    <w:rsid w:val="00214E0D"/>
    <w:rsid w:val="00215059"/>
    <w:rsid w:val="0021512E"/>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B5C"/>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3D"/>
    <w:rsid w:val="002314EE"/>
    <w:rsid w:val="00231740"/>
    <w:rsid w:val="00231B71"/>
    <w:rsid w:val="00231D67"/>
    <w:rsid w:val="00232149"/>
    <w:rsid w:val="00232191"/>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57C78"/>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0"/>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67E45"/>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3FB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2"/>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25E"/>
    <w:rsid w:val="002A2F9D"/>
    <w:rsid w:val="002A2FB8"/>
    <w:rsid w:val="002A31FF"/>
    <w:rsid w:val="002A354E"/>
    <w:rsid w:val="002A3668"/>
    <w:rsid w:val="002A3771"/>
    <w:rsid w:val="002A37C5"/>
    <w:rsid w:val="002A3AFD"/>
    <w:rsid w:val="002A3B12"/>
    <w:rsid w:val="002A3CF9"/>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28"/>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118"/>
    <w:rsid w:val="002D7235"/>
    <w:rsid w:val="002D76E8"/>
    <w:rsid w:val="002D7AD9"/>
    <w:rsid w:val="002E0E94"/>
    <w:rsid w:val="002E13CA"/>
    <w:rsid w:val="002E14D2"/>
    <w:rsid w:val="002E15A5"/>
    <w:rsid w:val="002E16BC"/>
    <w:rsid w:val="002E1F0A"/>
    <w:rsid w:val="002E1F6E"/>
    <w:rsid w:val="002E2122"/>
    <w:rsid w:val="002E233F"/>
    <w:rsid w:val="002E25D2"/>
    <w:rsid w:val="002E2738"/>
    <w:rsid w:val="002E2923"/>
    <w:rsid w:val="002E2A76"/>
    <w:rsid w:val="002E306D"/>
    <w:rsid w:val="002E3653"/>
    <w:rsid w:val="002E38B7"/>
    <w:rsid w:val="002E3CF7"/>
    <w:rsid w:val="002E3EF8"/>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C2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DA4"/>
    <w:rsid w:val="003060B8"/>
    <w:rsid w:val="003065FB"/>
    <w:rsid w:val="00306ED2"/>
    <w:rsid w:val="00306F89"/>
    <w:rsid w:val="0030740A"/>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1F1"/>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6220"/>
    <w:rsid w:val="003464A6"/>
    <w:rsid w:val="0034714B"/>
    <w:rsid w:val="0034745C"/>
    <w:rsid w:val="003474CD"/>
    <w:rsid w:val="00347851"/>
    <w:rsid w:val="003479B6"/>
    <w:rsid w:val="00350133"/>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65C5"/>
    <w:rsid w:val="00366B3A"/>
    <w:rsid w:val="00366B5F"/>
    <w:rsid w:val="00366BB5"/>
    <w:rsid w:val="00366D5B"/>
    <w:rsid w:val="00366EC6"/>
    <w:rsid w:val="00370285"/>
    <w:rsid w:val="00370307"/>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38C"/>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999"/>
    <w:rsid w:val="00387B2B"/>
    <w:rsid w:val="00390449"/>
    <w:rsid w:val="003904B1"/>
    <w:rsid w:val="003907D2"/>
    <w:rsid w:val="003907F5"/>
    <w:rsid w:val="00390886"/>
    <w:rsid w:val="00390C56"/>
    <w:rsid w:val="0039122C"/>
    <w:rsid w:val="0039124D"/>
    <w:rsid w:val="00391A92"/>
    <w:rsid w:val="00391B5A"/>
    <w:rsid w:val="00391C99"/>
    <w:rsid w:val="00391D2F"/>
    <w:rsid w:val="0039233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8A1"/>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9DA"/>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52B"/>
    <w:rsid w:val="003B68CA"/>
    <w:rsid w:val="003B6F42"/>
    <w:rsid w:val="003B6FCB"/>
    <w:rsid w:val="003B7020"/>
    <w:rsid w:val="003B7175"/>
    <w:rsid w:val="003B7294"/>
    <w:rsid w:val="003B7473"/>
    <w:rsid w:val="003B7511"/>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1FDB"/>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D0F"/>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C76"/>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27"/>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D37"/>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200F5"/>
    <w:rsid w:val="00420126"/>
    <w:rsid w:val="00420249"/>
    <w:rsid w:val="004203CF"/>
    <w:rsid w:val="00420755"/>
    <w:rsid w:val="00420CB7"/>
    <w:rsid w:val="0042139B"/>
    <w:rsid w:val="004213C2"/>
    <w:rsid w:val="004213E8"/>
    <w:rsid w:val="0042156E"/>
    <w:rsid w:val="00421AB3"/>
    <w:rsid w:val="00421D1C"/>
    <w:rsid w:val="00421F50"/>
    <w:rsid w:val="00422105"/>
    <w:rsid w:val="004222BF"/>
    <w:rsid w:val="004223C5"/>
    <w:rsid w:val="0042281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3B1"/>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345"/>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37B"/>
    <w:rsid w:val="00437563"/>
    <w:rsid w:val="00437895"/>
    <w:rsid w:val="004378D0"/>
    <w:rsid w:val="0043796B"/>
    <w:rsid w:val="00437E77"/>
    <w:rsid w:val="004402A7"/>
    <w:rsid w:val="0044035D"/>
    <w:rsid w:val="00440850"/>
    <w:rsid w:val="00440B84"/>
    <w:rsid w:val="00440EA5"/>
    <w:rsid w:val="0044142F"/>
    <w:rsid w:val="00441606"/>
    <w:rsid w:val="0044181E"/>
    <w:rsid w:val="00441EA9"/>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BA4"/>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166D"/>
    <w:rsid w:val="00471856"/>
    <w:rsid w:val="00471DB0"/>
    <w:rsid w:val="00471FAB"/>
    <w:rsid w:val="004720F3"/>
    <w:rsid w:val="00472277"/>
    <w:rsid w:val="004724D9"/>
    <w:rsid w:val="0047253B"/>
    <w:rsid w:val="00472A36"/>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3F"/>
    <w:rsid w:val="004936E2"/>
    <w:rsid w:val="004938AA"/>
    <w:rsid w:val="00493ADE"/>
    <w:rsid w:val="00493D08"/>
    <w:rsid w:val="00493E02"/>
    <w:rsid w:val="004944EB"/>
    <w:rsid w:val="004949D8"/>
    <w:rsid w:val="00494A74"/>
    <w:rsid w:val="00494E75"/>
    <w:rsid w:val="00494EC7"/>
    <w:rsid w:val="00495071"/>
    <w:rsid w:val="004961DB"/>
    <w:rsid w:val="0049625A"/>
    <w:rsid w:val="00496486"/>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02"/>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29"/>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E7C"/>
    <w:rsid w:val="004F6F20"/>
    <w:rsid w:val="004F735F"/>
    <w:rsid w:val="004F7373"/>
    <w:rsid w:val="004F73A5"/>
    <w:rsid w:val="004F7522"/>
    <w:rsid w:val="004F76A6"/>
    <w:rsid w:val="004F7C51"/>
    <w:rsid w:val="004F7F1A"/>
    <w:rsid w:val="0050031C"/>
    <w:rsid w:val="005004F7"/>
    <w:rsid w:val="00500798"/>
    <w:rsid w:val="005007E7"/>
    <w:rsid w:val="0050088B"/>
    <w:rsid w:val="00500890"/>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0E"/>
    <w:rsid w:val="00504AC2"/>
    <w:rsid w:val="00504BE3"/>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858"/>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C2B"/>
    <w:rsid w:val="00523E18"/>
    <w:rsid w:val="00523F32"/>
    <w:rsid w:val="0052422C"/>
    <w:rsid w:val="005244D5"/>
    <w:rsid w:val="005247C0"/>
    <w:rsid w:val="00524AD1"/>
    <w:rsid w:val="00524AE9"/>
    <w:rsid w:val="00524B12"/>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8"/>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735"/>
    <w:rsid w:val="00545B46"/>
    <w:rsid w:val="00545C3D"/>
    <w:rsid w:val="00545E6A"/>
    <w:rsid w:val="00546310"/>
    <w:rsid w:val="005466B9"/>
    <w:rsid w:val="005466F5"/>
    <w:rsid w:val="00546738"/>
    <w:rsid w:val="0054676B"/>
    <w:rsid w:val="005467D6"/>
    <w:rsid w:val="00546942"/>
    <w:rsid w:val="00546D63"/>
    <w:rsid w:val="00546E1D"/>
    <w:rsid w:val="005471A3"/>
    <w:rsid w:val="005474C6"/>
    <w:rsid w:val="00547806"/>
    <w:rsid w:val="00547C34"/>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AF5"/>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BA0"/>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207"/>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5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1E0"/>
    <w:rsid w:val="005C1225"/>
    <w:rsid w:val="005C132F"/>
    <w:rsid w:val="005C15C8"/>
    <w:rsid w:val="005C1752"/>
    <w:rsid w:val="005C1AAD"/>
    <w:rsid w:val="005C1BF2"/>
    <w:rsid w:val="005C2144"/>
    <w:rsid w:val="005C247C"/>
    <w:rsid w:val="005C2557"/>
    <w:rsid w:val="005C2D20"/>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11"/>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171"/>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35"/>
    <w:rsid w:val="005F0C46"/>
    <w:rsid w:val="005F0F95"/>
    <w:rsid w:val="005F1AFF"/>
    <w:rsid w:val="005F1BB2"/>
    <w:rsid w:val="005F1FE4"/>
    <w:rsid w:val="005F2528"/>
    <w:rsid w:val="005F2EC3"/>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A6B"/>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365"/>
    <w:rsid w:val="006406A6"/>
    <w:rsid w:val="006409F3"/>
    <w:rsid w:val="00640D8A"/>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5D76"/>
    <w:rsid w:val="0064655B"/>
    <w:rsid w:val="006466B5"/>
    <w:rsid w:val="0064716A"/>
    <w:rsid w:val="006472ED"/>
    <w:rsid w:val="006477A7"/>
    <w:rsid w:val="006479BF"/>
    <w:rsid w:val="00647C88"/>
    <w:rsid w:val="00647CB3"/>
    <w:rsid w:val="00647E60"/>
    <w:rsid w:val="00650150"/>
    <w:rsid w:val="006504B1"/>
    <w:rsid w:val="006504BA"/>
    <w:rsid w:val="00650854"/>
    <w:rsid w:val="00650D1E"/>
    <w:rsid w:val="00650D3F"/>
    <w:rsid w:val="00650D78"/>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50"/>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A5C"/>
    <w:rsid w:val="00693EC2"/>
    <w:rsid w:val="00693F0A"/>
    <w:rsid w:val="0069447C"/>
    <w:rsid w:val="0069463D"/>
    <w:rsid w:val="006949AD"/>
    <w:rsid w:val="00694E1F"/>
    <w:rsid w:val="00696244"/>
    <w:rsid w:val="00696738"/>
    <w:rsid w:val="0069681E"/>
    <w:rsid w:val="006969D6"/>
    <w:rsid w:val="00696B38"/>
    <w:rsid w:val="00696B6A"/>
    <w:rsid w:val="00696DD1"/>
    <w:rsid w:val="0069726D"/>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0B"/>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70"/>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584"/>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CC6"/>
    <w:rsid w:val="006C3F91"/>
    <w:rsid w:val="006C3FF3"/>
    <w:rsid w:val="006C410A"/>
    <w:rsid w:val="006C44D3"/>
    <w:rsid w:val="006C45C1"/>
    <w:rsid w:val="006C478B"/>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3"/>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A81"/>
    <w:rsid w:val="00712FDB"/>
    <w:rsid w:val="007131B0"/>
    <w:rsid w:val="00713652"/>
    <w:rsid w:val="0071371F"/>
    <w:rsid w:val="0071374D"/>
    <w:rsid w:val="00713961"/>
    <w:rsid w:val="00713F75"/>
    <w:rsid w:val="00714065"/>
    <w:rsid w:val="00714186"/>
    <w:rsid w:val="00714312"/>
    <w:rsid w:val="00714796"/>
    <w:rsid w:val="00714AB5"/>
    <w:rsid w:val="00714D6A"/>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A54"/>
    <w:rsid w:val="00724C2A"/>
    <w:rsid w:val="00725068"/>
    <w:rsid w:val="0072560E"/>
    <w:rsid w:val="00725CB6"/>
    <w:rsid w:val="00725CDC"/>
    <w:rsid w:val="0072604B"/>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4F7"/>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03B"/>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9EC"/>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641"/>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5C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49"/>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3FF5"/>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398"/>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9E"/>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01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CF1"/>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1"/>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444"/>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3D8"/>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436"/>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3F9F"/>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2B8"/>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C65"/>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41D"/>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47A"/>
    <w:rsid w:val="008948A0"/>
    <w:rsid w:val="00894A2E"/>
    <w:rsid w:val="00894ADC"/>
    <w:rsid w:val="00894C19"/>
    <w:rsid w:val="00895243"/>
    <w:rsid w:val="008954C9"/>
    <w:rsid w:val="008956EB"/>
    <w:rsid w:val="00895880"/>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0F42"/>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AC"/>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106"/>
    <w:rsid w:val="008D1250"/>
    <w:rsid w:val="008D13DC"/>
    <w:rsid w:val="008D149D"/>
    <w:rsid w:val="008D19E5"/>
    <w:rsid w:val="008D1D10"/>
    <w:rsid w:val="008D1E23"/>
    <w:rsid w:val="008D2209"/>
    <w:rsid w:val="008D2461"/>
    <w:rsid w:val="008D2523"/>
    <w:rsid w:val="008D29D2"/>
    <w:rsid w:val="008D2BB3"/>
    <w:rsid w:val="008D3208"/>
    <w:rsid w:val="008D397F"/>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26"/>
    <w:rsid w:val="009012ED"/>
    <w:rsid w:val="00901837"/>
    <w:rsid w:val="00901845"/>
    <w:rsid w:val="00901A2A"/>
    <w:rsid w:val="0090223C"/>
    <w:rsid w:val="009022BC"/>
    <w:rsid w:val="0090255A"/>
    <w:rsid w:val="00902686"/>
    <w:rsid w:val="00902734"/>
    <w:rsid w:val="009027BE"/>
    <w:rsid w:val="00902BDA"/>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5D7"/>
    <w:rsid w:val="009076AC"/>
    <w:rsid w:val="00907BEE"/>
    <w:rsid w:val="009100CF"/>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721"/>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4A2C"/>
    <w:rsid w:val="00925054"/>
    <w:rsid w:val="0092507E"/>
    <w:rsid w:val="009250C2"/>
    <w:rsid w:val="00925267"/>
    <w:rsid w:val="0092581A"/>
    <w:rsid w:val="00925836"/>
    <w:rsid w:val="00925905"/>
    <w:rsid w:val="00925B66"/>
    <w:rsid w:val="00925DD1"/>
    <w:rsid w:val="009260EC"/>
    <w:rsid w:val="00926145"/>
    <w:rsid w:val="00926264"/>
    <w:rsid w:val="00926595"/>
    <w:rsid w:val="009267FA"/>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408"/>
    <w:rsid w:val="00942BB8"/>
    <w:rsid w:val="00942E21"/>
    <w:rsid w:val="00942EF9"/>
    <w:rsid w:val="0094335F"/>
    <w:rsid w:val="0094376F"/>
    <w:rsid w:val="00943DB7"/>
    <w:rsid w:val="00943E06"/>
    <w:rsid w:val="00943FD3"/>
    <w:rsid w:val="00944202"/>
    <w:rsid w:val="00944335"/>
    <w:rsid w:val="0094484A"/>
    <w:rsid w:val="00944AF4"/>
    <w:rsid w:val="00945A9C"/>
    <w:rsid w:val="00945B6B"/>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23B"/>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126"/>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21"/>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CDC"/>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2D4C"/>
    <w:rsid w:val="00993075"/>
    <w:rsid w:val="009930C0"/>
    <w:rsid w:val="0099324C"/>
    <w:rsid w:val="00993255"/>
    <w:rsid w:val="00993627"/>
    <w:rsid w:val="0099367D"/>
    <w:rsid w:val="009936F0"/>
    <w:rsid w:val="00993B9B"/>
    <w:rsid w:val="00994D59"/>
    <w:rsid w:val="0099515C"/>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2FE2"/>
    <w:rsid w:val="009E3644"/>
    <w:rsid w:val="009E3790"/>
    <w:rsid w:val="009E3C31"/>
    <w:rsid w:val="009E3DAA"/>
    <w:rsid w:val="009E3FCF"/>
    <w:rsid w:val="009E457F"/>
    <w:rsid w:val="009E4B10"/>
    <w:rsid w:val="009E4EC6"/>
    <w:rsid w:val="009E4F28"/>
    <w:rsid w:val="009E4FCC"/>
    <w:rsid w:val="009E5656"/>
    <w:rsid w:val="009E5AB4"/>
    <w:rsid w:val="009E63E8"/>
    <w:rsid w:val="009E641D"/>
    <w:rsid w:val="009E6A64"/>
    <w:rsid w:val="009E6D46"/>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6C04"/>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7BF"/>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0CE0"/>
    <w:rsid w:val="00A2104B"/>
    <w:rsid w:val="00A210E9"/>
    <w:rsid w:val="00A2146D"/>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53"/>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4EBF"/>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D6F"/>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1035"/>
    <w:rsid w:val="00A81266"/>
    <w:rsid w:val="00A8135C"/>
    <w:rsid w:val="00A81633"/>
    <w:rsid w:val="00A81694"/>
    <w:rsid w:val="00A81880"/>
    <w:rsid w:val="00A81D9B"/>
    <w:rsid w:val="00A8221B"/>
    <w:rsid w:val="00A82508"/>
    <w:rsid w:val="00A828F2"/>
    <w:rsid w:val="00A82C1E"/>
    <w:rsid w:val="00A82DF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5BF"/>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BA9"/>
    <w:rsid w:val="00A97DBD"/>
    <w:rsid w:val="00A97EF9"/>
    <w:rsid w:val="00A97F5E"/>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109"/>
    <w:rsid w:val="00AA6206"/>
    <w:rsid w:val="00AA630A"/>
    <w:rsid w:val="00AA6353"/>
    <w:rsid w:val="00AA69EF"/>
    <w:rsid w:val="00AA6F21"/>
    <w:rsid w:val="00AA6F9A"/>
    <w:rsid w:val="00AA7187"/>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4D9"/>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6D5"/>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57C"/>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2E8"/>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158"/>
    <w:rsid w:val="00B25461"/>
    <w:rsid w:val="00B2547B"/>
    <w:rsid w:val="00B25585"/>
    <w:rsid w:val="00B2571D"/>
    <w:rsid w:val="00B2575A"/>
    <w:rsid w:val="00B25A0E"/>
    <w:rsid w:val="00B25A70"/>
    <w:rsid w:val="00B25BD8"/>
    <w:rsid w:val="00B25E1D"/>
    <w:rsid w:val="00B25F9A"/>
    <w:rsid w:val="00B2613A"/>
    <w:rsid w:val="00B263BE"/>
    <w:rsid w:val="00B269CE"/>
    <w:rsid w:val="00B26B3D"/>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6630"/>
    <w:rsid w:val="00B37188"/>
    <w:rsid w:val="00B37263"/>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60"/>
    <w:rsid w:val="00B61B85"/>
    <w:rsid w:val="00B61CFF"/>
    <w:rsid w:val="00B61F08"/>
    <w:rsid w:val="00B61F70"/>
    <w:rsid w:val="00B62324"/>
    <w:rsid w:val="00B6237B"/>
    <w:rsid w:val="00B62894"/>
    <w:rsid w:val="00B62A18"/>
    <w:rsid w:val="00B62C10"/>
    <w:rsid w:val="00B63266"/>
    <w:rsid w:val="00B6329A"/>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52B"/>
    <w:rsid w:val="00B71A5D"/>
    <w:rsid w:val="00B7273B"/>
    <w:rsid w:val="00B727B8"/>
    <w:rsid w:val="00B730FF"/>
    <w:rsid w:val="00B73453"/>
    <w:rsid w:val="00B737C7"/>
    <w:rsid w:val="00B73CBB"/>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54B"/>
    <w:rsid w:val="00B95A04"/>
    <w:rsid w:val="00B95C49"/>
    <w:rsid w:val="00B95D69"/>
    <w:rsid w:val="00B95EEF"/>
    <w:rsid w:val="00B95FD7"/>
    <w:rsid w:val="00B9605C"/>
    <w:rsid w:val="00B96228"/>
    <w:rsid w:val="00B96313"/>
    <w:rsid w:val="00B96698"/>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12"/>
    <w:rsid w:val="00BA40BE"/>
    <w:rsid w:val="00BA4437"/>
    <w:rsid w:val="00BA48E0"/>
    <w:rsid w:val="00BA4CF4"/>
    <w:rsid w:val="00BA54FB"/>
    <w:rsid w:val="00BA574F"/>
    <w:rsid w:val="00BA5A25"/>
    <w:rsid w:val="00BA5C97"/>
    <w:rsid w:val="00BA5EFB"/>
    <w:rsid w:val="00BA654A"/>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24"/>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B35"/>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0C"/>
    <w:rsid w:val="00BE65B3"/>
    <w:rsid w:val="00BE68B9"/>
    <w:rsid w:val="00BE7265"/>
    <w:rsid w:val="00BE7603"/>
    <w:rsid w:val="00BE785B"/>
    <w:rsid w:val="00BE7B27"/>
    <w:rsid w:val="00BE7C4F"/>
    <w:rsid w:val="00BF02E6"/>
    <w:rsid w:val="00BF0504"/>
    <w:rsid w:val="00BF0A66"/>
    <w:rsid w:val="00BF0BF5"/>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293"/>
    <w:rsid w:val="00BF7433"/>
    <w:rsid w:val="00BF7757"/>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C4"/>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4A"/>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5C4"/>
    <w:rsid w:val="00C47AE8"/>
    <w:rsid w:val="00C47B93"/>
    <w:rsid w:val="00C47BDE"/>
    <w:rsid w:val="00C47DD3"/>
    <w:rsid w:val="00C47EC4"/>
    <w:rsid w:val="00C47F4E"/>
    <w:rsid w:val="00C508B7"/>
    <w:rsid w:val="00C509D3"/>
    <w:rsid w:val="00C50DD7"/>
    <w:rsid w:val="00C51696"/>
    <w:rsid w:val="00C5193F"/>
    <w:rsid w:val="00C51D11"/>
    <w:rsid w:val="00C51D30"/>
    <w:rsid w:val="00C51F21"/>
    <w:rsid w:val="00C521CD"/>
    <w:rsid w:val="00C5257E"/>
    <w:rsid w:val="00C52DAE"/>
    <w:rsid w:val="00C531B4"/>
    <w:rsid w:val="00C532EB"/>
    <w:rsid w:val="00C532F9"/>
    <w:rsid w:val="00C53326"/>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A86"/>
    <w:rsid w:val="00C80B40"/>
    <w:rsid w:val="00C80D6D"/>
    <w:rsid w:val="00C80DB5"/>
    <w:rsid w:val="00C8123D"/>
    <w:rsid w:val="00C817BF"/>
    <w:rsid w:val="00C817C3"/>
    <w:rsid w:val="00C8198E"/>
    <w:rsid w:val="00C81B30"/>
    <w:rsid w:val="00C8220B"/>
    <w:rsid w:val="00C82387"/>
    <w:rsid w:val="00C823D0"/>
    <w:rsid w:val="00C83012"/>
    <w:rsid w:val="00C831FC"/>
    <w:rsid w:val="00C83260"/>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378"/>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0F2"/>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DC0"/>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D3E"/>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2B2"/>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73F"/>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CF3"/>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0B"/>
    <w:rsid w:val="00D309B2"/>
    <w:rsid w:val="00D309D3"/>
    <w:rsid w:val="00D30C46"/>
    <w:rsid w:val="00D30FC7"/>
    <w:rsid w:val="00D31376"/>
    <w:rsid w:val="00D3176F"/>
    <w:rsid w:val="00D31B9F"/>
    <w:rsid w:val="00D31BEA"/>
    <w:rsid w:val="00D3203C"/>
    <w:rsid w:val="00D32088"/>
    <w:rsid w:val="00D32A79"/>
    <w:rsid w:val="00D32B47"/>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985"/>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694"/>
    <w:rsid w:val="00D53768"/>
    <w:rsid w:val="00D537B0"/>
    <w:rsid w:val="00D5393B"/>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14B"/>
    <w:rsid w:val="00D572B2"/>
    <w:rsid w:val="00D57AC0"/>
    <w:rsid w:val="00D57B36"/>
    <w:rsid w:val="00D57C20"/>
    <w:rsid w:val="00D57F0A"/>
    <w:rsid w:val="00D60207"/>
    <w:rsid w:val="00D6041F"/>
    <w:rsid w:val="00D605D8"/>
    <w:rsid w:val="00D60BCB"/>
    <w:rsid w:val="00D60C1A"/>
    <w:rsid w:val="00D60CB2"/>
    <w:rsid w:val="00D60DD4"/>
    <w:rsid w:val="00D610FA"/>
    <w:rsid w:val="00D61697"/>
    <w:rsid w:val="00D61B68"/>
    <w:rsid w:val="00D61C3C"/>
    <w:rsid w:val="00D61D79"/>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49A"/>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745"/>
    <w:rsid w:val="00DB0B4D"/>
    <w:rsid w:val="00DB0D5D"/>
    <w:rsid w:val="00DB0D7C"/>
    <w:rsid w:val="00DB118D"/>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BA8"/>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21C"/>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3F86"/>
    <w:rsid w:val="00E0401E"/>
    <w:rsid w:val="00E0435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8CF"/>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5F2"/>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2FA8"/>
    <w:rsid w:val="00E5315C"/>
    <w:rsid w:val="00E534EA"/>
    <w:rsid w:val="00E5350D"/>
    <w:rsid w:val="00E53746"/>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E6D"/>
    <w:rsid w:val="00E60F80"/>
    <w:rsid w:val="00E6134E"/>
    <w:rsid w:val="00E613B1"/>
    <w:rsid w:val="00E613CE"/>
    <w:rsid w:val="00E61606"/>
    <w:rsid w:val="00E617EB"/>
    <w:rsid w:val="00E61DAC"/>
    <w:rsid w:val="00E61F86"/>
    <w:rsid w:val="00E62AF2"/>
    <w:rsid w:val="00E62C6B"/>
    <w:rsid w:val="00E62DDA"/>
    <w:rsid w:val="00E6307C"/>
    <w:rsid w:val="00E630F7"/>
    <w:rsid w:val="00E63A8C"/>
    <w:rsid w:val="00E63E5E"/>
    <w:rsid w:val="00E64247"/>
    <w:rsid w:val="00E643D0"/>
    <w:rsid w:val="00E64763"/>
    <w:rsid w:val="00E647DC"/>
    <w:rsid w:val="00E6484F"/>
    <w:rsid w:val="00E64A94"/>
    <w:rsid w:val="00E64B4F"/>
    <w:rsid w:val="00E6504D"/>
    <w:rsid w:val="00E65A35"/>
    <w:rsid w:val="00E65E6B"/>
    <w:rsid w:val="00E663A7"/>
    <w:rsid w:val="00E6640D"/>
    <w:rsid w:val="00E664C6"/>
    <w:rsid w:val="00E666A1"/>
    <w:rsid w:val="00E6682F"/>
    <w:rsid w:val="00E67631"/>
    <w:rsid w:val="00E67FAC"/>
    <w:rsid w:val="00E702A6"/>
    <w:rsid w:val="00E7041A"/>
    <w:rsid w:val="00E705E5"/>
    <w:rsid w:val="00E706D6"/>
    <w:rsid w:val="00E70B0C"/>
    <w:rsid w:val="00E7120A"/>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1E9E"/>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A99"/>
    <w:rsid w:val="00E90B30"/>
    <w:rsid w:val="00E90FDD"/>
    <w:rsid w:val="00E91139"/>
    <w:rsid w:val="00E915E1"/>
    <w:rsid w:val="00E919F0"/>
    <w:rsid w:val="00E91BF2"/>
    <w:rsid w:val="00E91DDE"/>
    <w:rsid w:val="00E91E61"/>
    <w:rsid w:val="00E920B8"/>
    <w:rsid w:val="00E92458"/>
    <w:rsid w:val="00E924C7"/>
    <w:rsid w:val="00E9281F"/>
    <w:rsid w:val="00E92F0A"/>
    <w:rsid w:val="00E93168"/>
    <w:rsid w:val="00E93402"/>
    <w:rsid w:val="00E9346A"/>
    <w:rsid w:val="00E939E4"/>
    <w:rsid w:val="00E93A7A"/>
    <w:rsid w:val="00E93B3D"/>
    <w:rsid w:val="00E93D80"/>
    <w:rsid w:val="00E93FF2"/>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784"/>
    <w:rsid w:val="00EA1AE8"/>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B89"/>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13F4"/>
    <w:rsid w:val="00EC183D"/>
    <w:rsid w:val="00EC1D83"/>
    <w:rsid w:val="00EC1F24"/>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D66"/>
    <w:rsid w:val="00ED0DE8"/>
    <w:rsid w:val="00ED0EB9"/>
    <w:rsid w:val="00ED13F9"/>
    <w:rsid w:val="00ED1483"/>
    <w:rsid w:val="00ED15DD"/>
    <w:rsid w:val="00ED1A21"/>
    <w:rsid w:val="00ED1A39"/>
    <w:rsid w:val="00ED1CD6"/>
    <w:rsid w:val="00ED2461"/>
    <w:rsid w:val="00ED24D8"/>
    <w:rsid w:val="00ED2FF1"/>
    <w:rsid w:val="00ED31B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A95"/>
    <w:rsid w:val="00F101FA"/>
    <w:rsid w:val="00F10437"/>
    <w:rsid w:val="00F10465"/>
    <w:rsid w:val="00F105F1"/>
    <w:rsid w:val="00F10864"/>
    <w:rsid w:val="00F108E6"/>
    <w:rsid w:val="00F10E93"/>
    <w:rsid w:val="00F11475"/>
    <w:rsid w:val="00F1165E"/>
    <w:rsid w:val="00F117F2"/>
    <w:rsid w:val="00F11CF5"/>
    <w:rsid w:val="00F11F09"/>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63D"/>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83A"/>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39"/>
    <w:rsid w:val="00FE3BC4"/>
    <w:rsid w:val="00FE3D47"/>
    <w:rsid w:val="00FE3E42"/>
    <w:rsid w:val="00FE42C4"/>
    <w:rsid w:val="00FE43AC"/>
    <w:rsid w:val="00FE46F4"/>
    <w:rsid w:val="00FE4792"/>
    <w:rsid w:val="00FE47B0"/>
    <w:rsid w:val="00FE5172"/>
    <w:rsid w:val="00FE5236"/>
    <w:rsid w:val="00FE52AC"/>
    <w:rsid w:val="00FE52CD"/>
    <w:rsid w:val="00FE52FC"/>
    <w:rsid w:val="00FE55EC"/>
    <w:rsid w:val="00FE5977"/>
    <w:rsid w:val="00FE5CB2"/>
    <w:rsid w:val="00FE60C6"/>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6FB"/>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248B9EE7-6F63-4498-97A8-3C0E9111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1598</Words>
  <Characters>9112</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2023-08-11T16:13:00Z</dcterms:created>
  <dcterms:modified xsi:type="dcterms:W3CDTF">2023-08-11T20:00:00Z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